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宋体"/>
          <w:b/>
          <w:color w:val="000000"/>
          <w:sz w:val="36"/>
          <w:szCs w:val="36"/>
        </w:rPr>
      </w:pPr>
      <w:r>
        <w:rPr>
          <w:rFonts w:hint="eastAsia" w:ascii="华文中宋" w:hAnsi="华文中宋" w:eastAsia="华文中宋" w:cs="宋体"/>
          <w:b/>
          <w:color w:val="000000"/>
          <w:sz w:val="36"/>
          <w:szCs w:val="36"/>
        </w:rPr>
        <w:t>管理科学与工程学院推荐优秀应届本科毕业生免试攻读</w:t>
      </w:r>
    </w:p>
    <w:p>
      <w:pPr>
        <w:spacing w:line="560" w:lineRule="exact"/>
        <w:rPr>
          <w:rFonts w:ascii="华文中宋" w:hAnsi="华文中宋" w:eastAsia="华文中宋" w:cs="宋体"/>
          <w:b/>
          <w:color w:val="000000"/>
          <w:sz w:val="36"/>
          <w:szCs w:val="36"/>
        </w:rPr>
      </w:pPr>
      <w:r>
        <w:rPr>
          <w:rFonts w:hint="eastAsia" w:ascii="华文中宋" w:hAnsi="华文中宋" w:eastAsia="华文中宋" w:cs="宋体"/>
          <w:b/>
          <w:color w:val="000000"/>
          <w:sz w:val="36"/>
          <w:szCs w:val="36"/>
        </w:rPr>
        <w:t>硕士学位研究生获奖及科研与创新能力积分细则（修订）</w:t>
      </w:r>
    </w:p>
    <w:p>
      <w:pPr>
        <w:snapToGrid w:val="0"/>
        <w:spacing w:before="50" w:line="560" w:lineRule="exact"/>
        <w:ind w:firstLine="1280" w:firstLineChars="400"/>
        <w:rPr>
          <w:rFonts w:hint="eastAsia" w:ascii="仿宋" w:hAnsi="仿宋" w:eastAsia="仿宋" w:cs="仿宋"/>
          <w:color w:val="000000"/>
          <w:sz w:val="32"/>
          <w:szCs w:val="32"/>
          <w:highlight w:val="none"/>
          <w:shd w:val="clear" w:color="auto" w:fill="FFFFFF"/>
        </w:rPr>
      </w:pPr>
      <w:r>
        <w:rPr>
          <w:rFonts w:hint="eastAsia" w:ascii="仿宋" w:hAnsi="仿宋" w:eastAsia="仿宋" w:cs="仿宋"/>
          <w:color w:val="000000"/>
          <w:sz w:val="32"/>
          <w:szCs w:val="32"/>
          <w:highlight w:val="none"/>
          <w:shd w:val="clear" w:color="auto" w:fill="FFFFFF"/>
        </w:rPr>
        <w:t>(20</w:t>
      </w:r>
      <w:r>
        <w:rPr>
          <w:rFonts w:hint="eastAsia" w:ascii="仿宋" w:hAnsi="仿宋" w:eastAsia="仿宋" w:cs="仿宋"/>
          <w:color w:val="000000"/>
          <w:sz w:val="32"/>
          <w:szCs w:val="32"/>
          <w:highlight w:val="none"/>
          <w:shd w:val="clear" w:color="auto" w:fill="FFFFFF"/>
          <w:lang w:val="en-US" w:eastAsia="zh-CN"/>
        </w:rPr>
        <w:t>22</w:t>
      </w:r>
      <w:r>
        <w:rPr>
          <w:rFonts w:hint="eastAsia" w:ascii="仿宋" w:hAnsi="仿宋" w:eastAsia="仿宋" w:cs="仿宋"/>
          <w:color w:val="000000"/>
          <w:sz w:val="32"/>
          <w:szCs w:val="32"/>
          <w:highlight w:val="none"/>
          <w:shd w:val="clear" w:color="auto" w:fill="FFFFFF"/>
        </w:rPr>
        <w:t>年</w:t>
      </w:r>
      <w:r>
        <w:rPr>
          <w:rFonts w:hint="eastAsia" w:ascii="仿宋" w:hAnsi="仿宋" w:eastAsia="仿宋" w:cs="仿宋"/>
          <w:color w:val="000000"/>
          <w:sz w:val="32"/>
          <w:szCs w:val="32"/>
          <w:highlight w:val="none"/>
          <w:shd w:val="clear" w:color="auto" w:fill="FFFFFF"/>
          <w:lang w:val="en-US" w:eastAsia="zh-CN"/>
        </w:rPr>
        <w:t>11</w:t>
      </w:r>
      <w:r>
        <w:rPr>
          <w:rFonts w:hint="eastAsia" w:ascii="仿宋" w:hAnsi="仿宋" w:eastAsia="仿宋" w:cs="仿宋"/>
          <w:color w:val="000000"/>
          <w:sz w:val="32"/>
          <w:szCs w:val="32"/>
          <w:highlight w:val="none"/>
          <w:shd w:val="clear" w:color="auto" w:fill="FFFFFF"/>
        </w:rPr>
        <w:t>月</w:t>
      </w:r>
      <w:r>
        <w:rPr>
          <w:rFonts w:hint="eastAsia" w:ascii="仿宋" w:hAnsi="仿宋" w:eastAsia="仿宋" w:cs="仿宋"/>
          <w:color w:val="000000"/>
          <w:sz w:val="32"/>
          <w:szCs w:val="32"/>
          <w:highlight w:val="none"/>
          <w:shd w:val="clear" w:color="auto" w:fill="FFFFFF"/>
          <w:lang w:val="en-US" w:eastAsia="zh-CN"/>
        </w:rPr>
        <w:t>21</w:t>
      </w:r>
      <w:r>
        <w:rPr>
          <w:rFonts w:hint="eastAsia" w:ascii="仿宋" w:hAnsi="仿宋" w:eastAsia="仿宋" w:cs="仿宋"/>
          <w:color w:val="000000"/>
          <w:sz w:val="32"/>
          <w:szCs w:val="32"/>
          <w:highlight w:val="none"/>
          <w:shd w:val="clear" w:color="auto" w:fill="FFFFFF"/>
        </w:rPr>
        <w:t>日学院党政联席会议审议通过)</w:t>
      </w:r>
    </w:p>
    <w:p>
      <w:pPr>
        <w:snapToGrid w:val="0"/>
        <w:spacing w:before="50" w:line="560" w:lineRule="exact"/>
        <w:ind w:firstLine="640" w:firstLineChars="200"/>
        <w:rPr>
          <w:rFonts w:hint="eastAsia" w:ascii="仿宋" w:hAnsi="仿宋" w:eastAsia="仿宋" w:cs="仿宋"/>
          <w:color w:val="000000"/>
          <w:sz w:val="32"/>
          <w:szCs w:val="32"/>
          <w:shd w:val="clear" w:color="auto" w:fill="FFFFFF"/>
        </w:rPr>
      </w:pPr>
    </w:p>
    <w:p>
      <w:pPr>
        <w:snapToGrid w:val="0"/>
        <w:spacing w:before="50" w:line="560" w:lineRule="exact"/>
        <w:ind w:firstLine="640" w:firstLineChars="200"/>
        <w:rPr>
          <w:rFonts w:hint="default" w:ascii="仿宋" w:hAnsi="仿宋" w:eastAsia="仿宋" w:cs="仿宋"/>
          <w:color w:val="000000"/>
          <w:sz w:val="32"/>
          <w:szCs w:val="32"/>
          <w:highlight w:val="yellow"/>
          <w:shd w:val="clear" w:color="auto" w:fill="FFFFFF"/>
          <w:lang w:val="en-US" w:eastAsia="zh-CN"/>
        </w:rPr>
      </w:pPr>
      <w:r>
        <w:rPr>
          <w:rFonts w:hint="eastAsia" w:ascii="仿宋" w:hAnsi="仿宋" w:eastAsia="仿宋" w:cs="仿宋"/>
          <w:color w:val="000000"/>
          <w:sz w:val="32"/>
          <w:szCs w:val="32"/>
          <w:shd w:val="clear" w:color="auto" w:fill="FFFFFF"/>
        </w:rPr>
        <w:t>为了进一步完善《管理科学与工程学院推荐优秀应届本科毕业生免试攻读硕士学位研究生实施办法》的文件精神，更好地公开、公平、公正地选拔人才，特修订推荐优秀应届本科毕业生免试攻读硕士学位研究生获奖及科研与创新能力积分细则，现予以公布。</w:t>
      </w:r>
      <w:r>
        <w:rPr>
          <w:rFonts w:hint="eastAsia" w:ascii="仿宋" w:hAnsi="仿宋" w:eastAsia="仿宋" w:cs="仿宋"/>
          <w:color w:val="000000"/>
          <w:sz w:val="32"/>
          <w:szCs w:val="32"/>
          <w:shd w:val="clear" w:color="auto" w:fill="FFFFFF"/>
          <w:lang w:val="en-US" w:eastAsia="zh-CN"/>
        </w:rPr>
        <w:t>本积分细则自自颁布之日起开始施行。</w:t>
      </w:r>
    </w:p>
    <w:p>
      <w:pPr>
        <w:snapToGrid w:val="0"/>
        <w:spacing w:before="50" w:line="56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推免生综合测评成绩由考试课总评成绩、获奖情况、科研与创新能力成绩三部分组成。其中：六个学期必修考试课总评成绩占70%，获奖情况占15%，科研与创新能力占15%。</w:t>
      </w:r>
    </w:p>
    <w:p>
      <w:pPr>
        <w:snapToGrid w:val="0"/>
        <w:spacing w:before="50" w:line="560" w:lineRule="exact"/>
        <w:ind w:firstLine="640" w:firstLineChars="200"/>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学生在某一</w:t>
      </w:r>
      <w:r>
        <w:rPr>
          <w:rFonts w:hint="eastAsia" w:ascii="仿宋" w:hAnsi="仿宋" w:eastAsia="仿宋" w:cs="仿宋"/>
          <w:color w:val="000000"/>
          <w:sz w:val="32"/>
          <w:szCs w:val="32"/>
          <w:shd w:val="clear" w:color="auto" w:fill="FFFFFF"/>
          <w:lang w:val="en-US" w:eastAsia="zh-CN"/>
        </w:rPr>
        <w:t>类别</w:t>
      </w:r>
      <w:r>
        <w:rPr>
          <w:rFonts w:hint="eastAsia" w:ascii="仿宋" w:hAnsi="仿宋" w:eastAsia="仿宋" w:cs="仿宋"/>
          <w:color w:val="000000"/>
          <w:sz w:val="32"/>
          <w:szCs w:val="32"/>
          <w:shd w:val="clear" w:color="auto" w:fill="FFFFFF"/>
        </w:rPr>
        <w:t>中有多项加分情况时，原则上只取一项</w:t>
      </w:r>
      <w:r>
        <w:rPr>
          <w:rFonts w:hint="eastAsia" w:ascii="仿宋" w:hAnsi="仿宋" w:eastAsia="仿宋" w:cs="仿宋"/>
          <w:color w:val="000000"/>
          <w:sz w:val="32"/>
          <w:szCs w:val="32"/>
          <w:shd w:val="clear" w:color="auto" w:fill="FFFFFF"/>
          <w:lang w:eastAsia="zh-CN"/>
        </w:rPr>
        <w:t>。</w:t>
      </w:r>
    </w:p>
    <w:p>
      <w:pPr>
        <w:spacing w:line="560" w:lineRule="exact"/>
        <w:rPr>
          <w:rFonts w:ascii="仿宋" w:hAnsi="仿宋" w:eastAsia="仿宋"/>
          <w:b/>
          <w:color w:val="000000"/>
          <w:sz w:val="28"/>
          <w:szCs w:val="28"/>
        </w:rPr>
      </w:pPr>
      <w:r>
        <w:rPr>
          <w:rFonts w:hint="eastAsia" w:ascii="仿宋" w:hAnsi="仿宋" w:eastAsia="仿宋"/>
          <w:color w:val="000000"/>
          <w:sz w:val="28"/>
          <w:szCs w:val="28"/>
        </w:rPr>
        <w:t>一、</w:t>
      </w:r>
      <w:r>
        <w:rPr>
          <w:rFonts w:hint="eastAsia" w:ascii="仿宋" w:hAnsi="仿宋" w:eastAsia="仿宋"/>
          <w:b/>
          <w:color w:val="000000"/>
          <w:sz w:val="28"/>
          <w:szCs w:val="28"/>
        </w:rPr>
        <w:t>获奖情况积分细则</w:t>
      </w:r>
    </w:p>
    <w:tbl>
      <w:tblPr>
        <w:tblStyle w:val="5"/>
        <w:tblW w:w="0" w:type="auto"/>
        <w:tblInd w:w="-125" w:type="dxa"/>
        <w:tblLayout w:type="fixed"/>
        <w:tblCellMar>
          <w:top w:w="0" w:type="dxa"/>
          <w:left w:w="0" w:type="dxa"/>
          <w:bottom w:w="0" w:type="dxa"/>
          <w:right w:w="0" w:type="dxa"/>
        </w:tblCellMar>
      </w:tblPr>
      <w:tblGrid>
        <w:gridCol w:w="1276"/>
        <w:gridCol w:w="1629"/>
        <w:gridCol w:w="1204"/>
        <w:gridCol w:w="4964"/>
      </w:tblGrid>
      <w:tr>
        <w:tblPrEx>
          <w:tblCellMar>
            <w:top w:w="0" w:type="dxa"/>
            <w:left w:w="0" w:type="dxa"/>
            <w:bottom w:w="0" w:type="dxa"/>
            <w:right w:w="0" w:type="dxa"/>
          </w:tblCellMar>
        </w:tblPrEx>
        <w:trPr>
          <w:trHeight w:val="285" w:hRule="atLeast"/>
        </w:trPr>
        <w:tc>
          <w:tcPr>
            <w:tcW w:w="1276" w:type="dxa"/>
            <w:tcBorders>
              <w:top w:val="single" w:color="auto" w:sz="4" w:space="0"/>
              <w:left w:val="single" w:color="auto" w:sz="4" w:space="0"/>
              <w:bottom w:val="single" w:color="auto" w:sz="6" w:space="0"/>
              <w:right w:val="single" w:color="auto" w:sz="6" w:space="0"/>
            </w:tcBorders>
            <w:shd w:val="clear" w:color="auto" w:fill="auto"/>
            <w:tcMar>
              <w:top w:w="17" w:type="dxa"/>
              <w:left w:w="17" w:type="dxa"/>
              <w:bottom w:w="0" w:type="dxa"/>
              <w:right w:w="17" w:type="dxa"/>
            </w:tcMar>
            <w:vAlign w:val="center"/>
          </w:tcPr>
          <w:p>
            <w:pPr>
              <w:spacing w:line="240" w:lineRule="auto"/>
              <w:ind w:firstLine="200"/>
              <w:jc w:val="center"/>
              <w:rPr>
                <w:rFonts w:ascii="仿宋" w:hAnsi="仿宋" w:eastAsia="仿宋" w:cs="宋体"/>
                <w:color w:val="000000"/>
                <w:sz w:val="24"/>
                <w:szCs w:val="24"/>
              </w:rPr>
            </w:pPr>
            <w:r>
              <w:rPr>
                <w:rFonts w:hint="eastAsia" w:ascii="仿宋" w:hAnsi="仿宋" w:eastAsia="仿宋"/>
                <w:color w:val="000000"/>
                <w:sz w:val="24"/>
                <w:szCs w:val="24"/>
              </w:rPr>
              <w:t>类别</w:t>
            </w:r>
          </w:p>
        </w:tc>
        <w:tc>
          <w:tcPr>
            <w:tcW w:w="1629" w:type="dxa"/>
            <w:tcBorders>
              <w:top w:val="single" w:color="auto" w:sz="4"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center"/>
              <w:rPr>
                <w:rFonts w:ascii="仿宋" w:hAnsi="仿宋" w:eastAsia="仿宋" w:cs="宋体"/>
                <w:color w:val="000000"/>
                <w:sz w:val="24"/>
                <w:szCs w:val="24"/>
              </w:rPr>
            </w:pPr>
            <w:r>
              <w:rPr>
                <w:rFonts w:hint="eastAsia" w:ascii="仿宋" w:hAnsi="仿宋" w:eastAsia="仿宋"/>
                <w:color w:val="000000"/>
                <w:sz w:val="24"/>
                <w:szCs w:val="24"/>
              </w:rPr>
              <w:t>级别</w:t>
            </w:r>
          </w:p>
        </w:tc>
        <w:tc>
          <w:tcPr>
            <w:tcW w:w="1204" w:type="dxa"/>
            <w:tcBorders>
              <w:top w:val="single" w:color="auto" w:sz="4"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ascii="仿宋" w:hAnsi="仿宋" w:eastAsia="仿宋" w:cs="宋体"/>
                <w:color w:val="000000"/>
                <w:sz w:val="24"/>
                <w:szCs w:val="24"/>
              </w:rPr>
            </w:pP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分值</w:t>
            </w:r>
          </w:p>
        </w:tc>
        <w:tc>
          <w:tcPr>
            <w:tcW w:w="4964" w:type="dxa"/>
            <w:tcBorders>
              <w:top w:val="single" w:color="auto" w:sz="4"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200"/>
              <w:jc w:val="center"/>
              <w:rPr>
                <w:rFonts w:hint="eastAsia" w:ascii="仿宋" w:hAnsi="仿宋" w:eastAsia="仿宋" w:cs="宋体"/>
                <w:color w:val="000000"/>
                <w:sz w:val="24"/>
                <w:szCs w:val="24"/>
                <w:lang w:eastAsia="zh-CN"/>
              </w:rPr>
            </w:pPr>
            <w:r>
              <w:rPr>
                <w:rFonts w:hint="eastAsia" w:ascii="仿宋" w:hAnsi="仿宋" w:eastAsia="仿宋"/>
                <w:color w:val="000000"/>
                <w:sz w:val="24"/>
                <w:szCs w:val="24"/>
                <w:lang w:val="en-US" w:eastAsia="zh-CN"/>
              </w:rPr>
              <w:t>说明</w:t>
            </w:r>
          </w:p>
        </w:tc>
      </w:tr>
      <w:tr>
        <w:tblPrEx>
          <w:tblCellMar>
            <w:top w:w="0" w:type="dxa"/>
            <w:left w:w="0" w:type="dxa"/>
            <w:bottom w:w="0" w:type="dxa"/>
            <w:right w:w="0" w:type="dxa"/>
          </w:tblCellMar>
        </w:tblPrEx>
        <w:trPr>
          <w:trHeight w:val="939" w:hRule="atLeast"/>
        </w:trPr>
        <w:tc>
          <w:tcPr>
            <w:tcW w:w="1276" w:type="dxa"/>
            <w:vMerge w:val="restart"/>
            <w:tcBorders>
              <w:top w:val="single" w:color="auto" w:sz="6" w:space="0"/>
              <w:left w:val="single" w:color="auto" w:sz="4"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荣誉称号</w:t>
            </w: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国家级</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80分</w:t>
            </w:r>
          </w:p>
        </w:tc>
        <w:tc>
          <w:tcPr>
            <w:tcW w:w="4964" w:type="dxa"/>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468" w:firstLineChars="195"/>
              <w:jc w:val="left"/>
              <w:rPr>
                <w:rFonts w:hint="eastAsia" w:ascii="仿宋" w:hAnsi="仿宋" w:eastAsia="仿宋"/>
                <w:color w:val="000000"/>
                <w:sz w:val="24"/>
                <w:szCs w:val="24"/>
              </w:rPr>
            </w:pPr>
            <w:r>
              <w:rPr>
                <w:rFonts w:hint="eastAsia" w:ascii="仿宋" w:hAnsi="仿宋" w:eastAsia="仿宋"/>
                <w:color w:val="000000"/>
                <w:sz w:val="24"/>
                <w:szCs w:val="24"/>
                <w:lang w:val="en-US" w:eastAsia="zh-CN"/>
              </w:rPr>
              <w:t>全国优秀共青团员80分，全国向上向善好青年80分，全国暑期社会实践先进个人60分，国家奖学金40分。</w:t>
            </w:r>
          </w:p>
        </w:tc>
      </w:tr>
      <w:tr>
        <w:tblPrEx>
          <w:tblCellMar>
            <w:top w:w="0" w:type="dxa"/>
            <w:left w:w="0" w:type="dxa"/>
            <w:bottom w:w="0" w:type="dxa"/>
            <w:right w:w="0" w:type="dxa"/>
          </w:tblCellMar>
        </w:tblPrEx>
        <w:trPr>
          <w:trHeight w:val="673"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省级</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60分</w:t>
            </w:r>
          </w:p>
        </w:tc>
        <w:tc>
          <w:tcPr>
            <w:tcW w:w="4964" w:type="dxa"/>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省十佳大学生60分，省三好学生50分、省级优秀学生干部50分，省向上向善好青年50分，省向上向善好青年提名奖40分，省暑期社会实践优秀个人40分。</w:t>
            </w:r>
          </w:p>
        </w:tc>
      </w:tr>
      <w:tr>
        <w:tblPrEx>
          <w:tblCellMar>
            <w:top w:w="0" w:type="dxa"/>
            <w:left w:w="0" w:type="dxa"/>
            <w:bottom w:w="0" w:type="dxa"/>
            <w:right w:w="0" w:type="dxa"/>
          </w:tblCellMar>
        </w:tblPrEx>
        <w:trPr>
          <w:trHeight w:val="90"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校级</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30分</w:t>
            </w:r>
          </w:p>
        </w:tc>
        <w:tc>
          <w:tcPr>
            <w:tcW w:w="4964" w:type="dxa"/>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480" w:firstLineChars="200"/>
              <w:jc w:val="left"/>
              <w:rPr>
                <w:rFonts w:ascii="仿宋" w:hAnsi="仿宋" w:eastAsia="仿宋" w:cs="宋体"/>
                <w:color w:val="000000"/>
                <w:sz w:val="24"/>
                <w:szCs w:val="24"/>
              </w:rPr>
            </w:pPr>
            <w:r>
              <w:rPr>
                <w:rFonts w:hint="eastAsia" w:ascii="仿宋" w:hAnsi="仿宋" w:eastAsia="仿宋"/>
                <w:color w:val="000000"/>
                <w:sz w:val="24"/>
                <w:szCs w:val="24"/>
              </w:rPr>
              <w:t>校三好学生标兵30分，校三好学生20分，优秀党员20分，优秀团干5分，优秀学生干部5分，优秀共青团员2分。</w:t>
            </w:r>
          </w:p>
        </w:tc>
      </w:tr>
      <w:tr>
        <w:tblPrEx>
          <w:tblCellMar>
            <w:top w:w="0" w:type="dxa"/>
            <w:left w:w="0" w:type="dxa"/>
            <w:bottom w:w="0" w:type="dxa"/>
            <w:right w:w="0" w:type="dxa"/>
          </w:tblCellMar>
        </w:tblPrEx>
        <w:trPr>
          <w:trHeight w:val="400"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olor w:val="000000"/>
                <w:sz w:val="24"/>
                <w:szCs w:val="24"/>
              </w:rPr>
            </w:pPr>
            <w:r>
              <w:rPr>
                <w:rFonts w:hint="eastAsia" w:ascii="仿宋" w:hAnsi="仿宋" w:eastAsia="仿宋"/>
                <w:color w:val="000000"/>
                <w:sz w:val="24"/>
                <w:szCs w:val="24"/>
              </w:rPr>
              <w:t>院级</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olor w:val="000000"/>
                <w:sz w:val="24"/>
                <w:szCs w:val="24"/>
              </w:rPr>
            </w:pPr>
            <w:r>
              <w:rPr>
                <w:rFonts w:hint="eastAsia" w:ascii="仿宋" w:hAnsi="仿宋" w:eastAsia="仿宋"/>
                <w:color w:val="000000"/>
                <w:sz w:val="24"/>
                <w:szCs w:val="24"/>
              </w:rPr>
              <w:t>10分</w:t>
            </w:r>
          </w:p>
        </w:tc>
        <w:tc>
          <w:tcPr>
            <w:tcW w:w="4964" w:type="dxa"/>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院三好学生10分，院优秀学生干部2分。</w:t>
            </w:r>
          </w:p>
        </w:tc>
      </w:tr>
      <w:tr>
        <w:tblPrEx>
          <w:tblCellMar>
            <w:top w:w="0" w:type="dxa"/>
            <w:left w:w="0" w:type="dxa"/>
            <w:bottom w:w="0" w:type="dxa"/>
            <w:right w:w="0" w:type="dxa"/>
          </w:tblCellMar>
        </w:tblPrEx>
        <w:trPr>
          <w:trHeight w:val="442" w:hRule="atLeast"/>
        </w:trPr>
        <w:tc>
          <w:tcPr>
            <w:tcW w:w="1276" w:type="dxa"/>
            <w:vMerge w:val="restart"/>
            <w:tcBorders>
              <w:top w:val="single" w:color="auto" w:sz="6" w:space="0"/>
              <w:left w:val="single" w:color="auto" w:sz="4"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left"/>
              <w:rPr>
                <w:rFonts w:ascii="仿宋" w:hAnsi="仿宋" w:eastAsia="仿宋" w:cs="宋体"/>
                <w:color w:val="000000"/>
                <w:sz w:val="24"/>
                <w:szCs w:val="24"/>
              </w:rPr>
            </w:pPr>
            <w:r>
              <w:rPr>
                <w:rFonts w:hint="eastAsia" w:ascii="仿宋" w:hAnsi="仿宋" w:eastAsia="仿宋"/>
                <w:color w:val="000000"/>
                <w:sz w:val="24"/>
                <w:szCs w:val="24"/>
                <w:lang w:val="en-US" w:eastAsia="zh-CN"/>
              </w:rPr>
              <w:t>学科</w:t>
            </w:r>
            <w:r>
              <w:rPr>
                <w:rFonts w:hint="eastAsia" w:ascii="仿宋" w:hAnsi="仿宋" w:eastAsia="仿宋"/>
                <w:color w:val="000000"/>
                <w:sz w:val="24"/>
                <w:szCs w:val="24"/>
              </w:rPr>
              <w:t>竞赛获奖</w:t>
            </w: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ascii="仿宋" w:hAnsi="仿宋" w:eastAsia="仿宋" w:cs="宋体"/>
                <w:color w:val="000000"/>
                <w:sz w:val="24"/>
                <w:szCs w:val="24"/>
              </w:rPr>
            </w:pPr>
            <w:r>
              <w:rPr>
                <w:rFonts w:hint="eastAsia" w:ascii="仿宋" w:hAnsi="仿宋" w:eastAsia="仿宋"/>
                <w:color w:val="000000"/>
                <w:sz w:val="24"/>
                <w:szCs w:val="24"/>
              </w:rPr>
              <w:t>A类一等奖</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highlight w:val="none"/>
              </w:rPr>
            </w:pPr>
            <w:r>
              <w:rPr>
                <w:rFonts w:hint="eastAsia" w:ascii="仿宋" w:hAnsi="仿宋" w:eastAsia="仿宋"/>
                <w:color w:val="000000"/>
                <w:sz w:val="24"/>
                <w:szCs w:val="24"/>
                <w:highlight w:val="none"/>
              </w:rPr>
              <w:t>100分</w:t>
            </w:r>
          </w:p>
        </w:tc>
        <w:tc>
          <w:tcPr>
            <w:tcW w:w="4964" w:type="dxa"/>
            <w:vMerge w:val="restart"/>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480" w:firstLineChars="200"/>
              <w:rPr>
                <w:rFonts w:hint="default" w:ascii="仿宋" w:hAnsi="仿宋" w:eastAsia="仿宋"/>
                <w:color w:val="000000"/>
                <w:sz w:val="24"/>
                <w:szCs w:val="24"/>
                <w:highlight w:val="none"/>
                <w:lang w:val="en-US" w:eastAsia="zh-CN"/>
              </w:rPr>
            </w:pPr>
            <w:r>
              <w:rPr>
                <w:rFonts w:ascii="仿宋" w:hAnsi="仿宋" w:eastAsia="仿宋"/>
                <w:color w:val="000000"/>
                <w:sz w:val="24"/>
                <w:szCs w:val="24"/>
                <w:highlight w:val="none"/>
              </w:rPr>
              <w:t>排名第一人按对应级别的</w:t>
            </w:r>
            <w:r>
              <w:rPr>
                <w:rFonts w:hint="eastAsia" w:ascii="仿宋" w:hAnsi="仿宋" w:eastAsia="仿宋"/>
                <w:color w:val="000000"/>
                <w:sz w:val="24"/>
                <w:szCs w:val="24"/>
                <w:highlight w:val="none"/>
                <w:lang w:val="en-US" w:eastAsia="zh-CN"/>
              </w:rPr>
              <w:t>分值</w:t>
            </w:r>
            <w:r>
              <w:rPr>
                <w:rFonts w:ascii="仿宋" w:hAnsi="仿宋" w:eastAsia="仿宋"/>
                <w:color w:val="000000"/>
                <w:sz w:val="24"/>
                <w:szCs w:val="24"/>
                <w:highlight w:val="none"/>
              </w:rPr>
              <w:t>加分，排名第二到五名者得分为</w:t>
            </w:r>
            <w:r>
              <w:rPr>
                <w:rFonts w:hint="eastAsia" w:ascii="仿宋" w:hAnsi="仿宋" w:eastAsia="仿宋"/>
                <w:color w:val="000000"/>
                <w:sz w:val="24"/>
                <w:szCs w:val="24"/>
                <w:highlight w:val="none"/>
                <w:lang w:val="en-US" w:eastAsia="zh-CN"/>
              </w:rPr>
              <w:t>该项</w:t>
            </w:r>
            <w:r>
              <w:rPr>
                <w:rFonts w:ascii="仿宋" w:hAnsi="仿宋" w:eastAsia="仿宋"/>
                <w:color w:val="000000"/>
                <w:sz w:val="24"/>
                <w:szCs w:val="24"/>
                <w:highlight w:val="none"/>
              </w:rPr>
              <w:t>分值的0.5、0.</w:t>
            </w:r>
            <w:r>
              <w:rPr>
                <w:rFonts w:hint="eastAsia" w:ascii="仿宋" w:hAnsi="仿宋" w:eastAsia="仿宋"/>
                <w:color w:val="000000"/>
                <w:sz w:val="24"/>
                <w:szCs w:val="24"/>
                <w:highlight w:val="none"/>
              </w:rPr>
              <w:t>4</w:t>
            </w:r>
            <w:r>
              <w:rPr>
                <w:rFonts w:ascii="仿宋" w:hAnsi="仿宋" w:eastAsia="仿宋"/>
                <w:color w:val="000000"/>
                <w:sz w:val="24"/>
                <w:szCs w:val="24"/>
                <w:highlight w:val="none"/>
              </w:rPr>
              <w:t>、0.2、0.1。</w:t>
            </w:r>
            <w:r>
              <w:rPr>
                <w:rFonts w:hint="eastAsia" w:ascii="仿宋" w:hAnsi="仿宋" w:eastAsia="仿宋"/>
                <w:color w:val="000000"/>
                <w:sz w:val="24"/>
                <w:szCs w:val="24"/>
                <w:highlight w:val="none"/>
                <w:lang w:val="en-US" w:eastAsia="zh-CN"/>
              </w:rPr>
              <w:t>（文体类集体项目，主唱、领舞或队长成员获该项</w:t>
            </w:r>
            <w:r>
              <w:rPr>
                <w:rFonts w:ascii="仿宋" w:hAnsi="仿宋" w:eastAsia="仿宋"/>
                <w:color w:val="000000"/>
                <w:sz w:val="24"/>
                <w:szCs w:val="24"/>
                <w:highlight w:val="none"/>
              </w:rPr>
              <w:t>分值的0.5</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lang w:val="en-US" w:eastAsia="zh-CN"/>
              </w:rPr>
              <w:t>其它成员获该项</w:t>
            </w:r>
            <w:r>
              <w:rPr>
                <w:rFonts w:ascii="仿宋" w:hAnsi="仿宋" w:eastAsia="仿宋"/>
                <w:color w:val="000000"/>
                <w:sz w:val="24"/>
                <w:szCs w:val="24"/>
                <w:highlight w:val="none"/>
              </w:rPr>
              <w:t>分值的0.</w:t>
            </w:r>
            <w:r>
              <w:rPr>
                <w:rFonts w:hint="eastAsia" w:ascii="仿宋" w:hAnsi="仿宋" w:eastAsia="仿宋"/>
                <w:color w:val="000000"/>
                <w:sz w:val="24"/>
                <w:szCs w:val="24"/>
                <w:highlight w:val="none"/>
                <w:lang w:val="en-US" w:eastAsia="zh-CN"/>
              </w:rPr>
              <w:t>4；若无主唱、领舞或队长成员，则所有成员获该项</w:t>
            </w:r>
            <w:r>
              <w:rPr>
                <w:rFonts w:ascii="仿宋" w:hAnsi="仿宋" w:eastAsia="仿宋"/>
                <w:color w:val="000000"/>
                <w:sz w:val="24"/>
                <w:szCs w:val="24"/>
                <w:highlight w:val="none"/>
              </w:rPr>
              <w:t>分值的0.</w:t>
            </w:r>
            <w:r>
              <w:rPr>
                <w:rFonts w:hint="eastAsia" w:ascii="仿宋" w:hAnsi="仿宋" w:eastAsia="仿宋"/>
                <w:color w:val="000000"/>
                <w:sz w:val="24"/>
                <w:szCs w:val="24"/>
                <w:highlight w:val="none"/>
                <w:lang w:val="en-US" w:eastAsia="zh-CN"/>
              </w:rPr>
              <w:t>5。）</w:t>
            </w:r>
            <w:bookmarkStart w:id="0" w:name="_GoBack"/>
            <w:bookmarkEnd w:id="0"/>
          </w:p>
          <w:p>
            <w:pPr>
              <w:numPr>
                <w:ilvl w:val="0"/>
                <w:numId w:val="0"/>
              </w:numPr>
              <w:spacing w:line="240" w:lineRule="auto"/>
              <w:ind w:firstLine="480" w:firstLineChars="200"/>
              <w:jc w:val="left"/>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lang w:val="en-US" w:eastAsia="zh-CN"/>
              </w:rPr>
              <w:t>A、B类竞赛标准</w:t>
            </w:r>
            <w:r>
              <w:rPr>
                <w:rFonts w:hint="eastAsia" w:ascii="仿宋" w:hAnsi="仿宋" w:eastAsia="仿宋"/>
                <w:color w:val="000000"/>
                <w:sz w:val="24"/>
                <w:szCs w:val="24"/>
                <w:highlight w:val="none"/>
              </w:rPr>
              <w:t>参照参赛当年《安徽省教育厅关于发布安徽省大学生学科和技能竞赛部分A、B类项目列表的通知》</w:t>
            </w:r>
            <w:r>
              <w:rPr>
                <w:rFonts w:hint="eastAsia" w:ascii="仿宋" w:hAnsi="仿宋" w:eastAsia="仿宋"/>
                <w:color w:val="000000"/>
                <w:sz w:val="24"/>
                <w:szCs w:val="24"/>
                <w:highlight w:val="none"/>
                <w:lang w:eastAsia="zh-CN"/>
              </w:rPr>
              <w:t>。</w:t>
            </w:r>
            <w:r>
              <w:rPr>
                <w:rFonts w:hint="eastAsia" w:ascii="仿宋" w:hAnsi="仿宋" w:eastAsia="仿宋"/>
                <w:color w:val="000000"/>
                <w:sz w:val="24"/>
                <w:szCs w:val="24"/>
                <w:highlight w:val="none"/>
              </w:rPr>
              <w:t>（按文件规定：A类竞赛的省级赛事均视作B类）</w:t>
            </w:r>
            <w:r>
              <w:rPr>
                <w:rFonts w:hint="eastAsia" w:ascii="仿宋" w:hAnsi="仿宋" w:eastAsia="仿宋"/>
                <w:color w:val="000000"/>
                <w:sz w:val="24"/>
                <w:szCs w:val="24"/>
                <w:highlight w:val="none"/>
                <w:lang w:eastAsia="zh-CN"/>
              </w:rPr>
              <w:t>。</w:t>
            </w:r>
          </w:p>
          <w:p>
            <w:pPr>
              <w:numPr>
                <w:ilvl w:val="0"/>
                <w:numId w:val="0"/>
              </w:numPr>
              <w:spacing w:line="240" w:lineRule="auto"/>
              <w:ind w:firstLine="480" w:firstLineChars="200"/>
              <w:jc w:val="left"/>
              <w:rPr>
                <w:rFonts w:hint="default" w:ascii="仿宋" w:hAnsi="仿宋" w:eastAsia="仿宋" w:cs="宋体"/>
                <w:color w:val="000000"/>
                <w:sz w:val="24"/>
                <w:szCs w:val="24"/>
                <w:highlight w:val="none"/>
                <w:lang w:val="en-US"/>
              </w:rPr>
            </w:pPr>
            <w:r>
              <w:rPr>
                <w:rFonts w:hint="eastAsia" w:ascii="仿宋" w:hAnsi="仿宋" w:eastAsia="仿宋"/>
                <w:color w:val="000000"/>
                <w:sz w:val="24"/>
                <w:szCs w:val="24"/>
                <w:highlight w:val="none"/>
                <w:lang w:val="en-US" w:eastAsia="zh-CN"/>
              </w:rPr>
              <w:t>C类赛事根据《安徽财经大学学生学科竞赛管理办法》认定。</w:t>
            </w:r>
          </w:p>
        </w:tc>
      </w:tr>
      <w:tr>
        <w:tblPrEx>
          <w:tblCellMar>
            <w:top w:w="0" w:type="dxa"/>
            <w:left w:w="0" w:type="dxa"/>
            <w:bottom w:w="0" w:type="dxa"/>
            <w:right w:w="0" w:type="dxa"/>
          </w:tblCellMar>
        </w:tblPrEx>
        <w:trPr>
          <w:trHeight w:val="446"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ascii="仿宋" w:hAnsi="仿宋" w:eastAsia="仿宋" w:cs="宋体"/>
                <w:color w:val="000000"/>
                <w:sz w:val="24"/>
                <w:szCs w:val="24"/>
              </w:rPr>
            </w:pPr>
            <w:r>
              <w:rPr>
                <w:rFonts w:hint="eastAsia" w:ascii="仿宋" w:hAnsi="仿宋" w:eastAsia="仿宋"/>
                <w:color w:val="000000"/>
                <w:sz w:val="24"/>
                <w:szCs w:val="24"/>
              </w:rPr>
              <w:t>A类二等奖</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80分</w:t>
            </w:r>
          </w:p>
        </w:tc>
        <w:tc>
          <w:tcPr>
            <w:tcW w:w="4964" w:type="dxa"/>
            <w:vMerge w:val="continue"/>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479"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ascii="仿宋" w:hAnsi="仿宋" w:eastAsia="仿宋" w:cs="宋体"/>
                <w:color w:val="000000"/>
                <w:sz w:val="24"/>
                <w:szCs w:val="24"/>
              </w:rPr>
            </w:pPr>
            <w:r>
              <w:rPr>
                <w:rFonts w:hint="eastAsia" w:ascii="仿宋" w:hAnsi="仿宋" w:eastAsia="仿宋"/>
                <w:color w:val="000000"/>
                <w:sz w:val="24"/>
                <w:szCs w:val="24"/>
              </w:rPr>
              <w:t>A类三等奖</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r>
              <w:rPr>
                <w:rFonts w:hint="eastAsia" w:ascii="仿宋" w:hAnsi="仿宋" w:eastAsia="仿宋"/>
                <w:color w:val="000000"/>
                <w:sz w:val="24"/>
                <w:szCs w:val="24"/>
              </w:rPr>
              <w:t>50分</w:t>
            </w:r>
          </w:p>
        </w:tc>
        <w:tc>
          <w:tcPr>
            <w:tcW w:w="4964" w:type="dxa"/>
            <w:vMerge w:val="continue"/>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627"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ascii="仿宋" w:hAnsi="仿宋" w:eastAsia="仿宋" w:cs="宋体"/>
                <w:color w:val="000000"/>
                <w:sz w:val="24"/>
                <w:szCs w:val="24"/>
                <w:highlight w:val="none"/>
              </w:rPr>
            </w:pPr>
            <w:r>
              <w:rPr>
                <w:rFonts w:hint="eastAsia" w:ascii="仿宋" w:hAnsi="仿宋" w:eastAsia="仿宋"/>
                <w:color w:val="000000"/>
                <w:sz w:val="24"/>
                <w:szCs w:val="24"/>
                <w:highlight w:val="none"/>
              </w:rPr>
              <w:t>B类</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eastAsia" w:ascii="仿宋" w:hAnsi="仿宋" w:eastAsia="仿宋" w:cs="宋体"/>
                <w:color w:val="000000"/>
                <w:sz w:val="24"/>
                <w:szCs w:val="24"/>
                <w:highlight w:val="none"/>
                <w:lang w:eastAsia="zh-CN"/>
              </w:rPr>
            </w:pPr>
            <w:r>
              <w:rPr>
                <w:rFonts w:hint="eastAsia" w:ascii="仿宋" w:hAnsi="仿宋" w:eastAsia="仿宋"/>
                <w:color w:val="000000"/>
                <w:sz w:val="24"/>
                <w:szCs w:val="24"/>
                <w:highlight w:val="none"/>
              </w:rPr>
              <w:t>A类相应分值*0.</w:t>
            </w:r>
            <w:r>
              <w:rPr>
                <w:rFonts w:hint="eastAsia" w:ascii="仿宋" w:hAnsi="仿宋" w:eastAsia="仿宋"/>
                <w:color w:val="000000"/>
                <w:sz w:val="24"/>
                <w:szCs w:val="24"/>
                <w:highlight w:val="none"/>
                <w:lang w:val="en-US" w:eastAsia="zh-CN"/>
              </w:rPr>
              <w:t>3</w:t>
            </w:r>
          </w:p>
        </w:tc>
        <w:tc>
          <w:tcPr>
            <w:tcW w:w="4964" w:type="dxa"/>
            <w:vMerge w:val="continue"/>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627" w:hRule="atLeast"/>
        </w:trPr>
        <w:tc>
          <w:tcPr>
            <w:tcW w:w="1276" w:type="dxa"/>
            <w:vMerge w:val="continue"/>
            <w:tcBorders>
              <w:top w:val="single" w:color="auto" w:sz="6" w:space="0"/>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default" w:ascii="仿宋" w:hAnsi="仿宋" w:eastAsia="仿宋"/>
                <w:color w:val="000000"/>
                <w:sz w:val="24"/>
                <w:szCs w:val="24"/>
                <w:highlight w:val="none"/>
                <w:lang w:val="en-US" w:eastAsia="zh-CN"/>
              </w:rPr>
            </w:pPr>
            <w:r>
              <w:rPr>
                <w:rFonts w:hint="eastAsia" w:ascii="仿宋" w:hAnsi="仿宋" w:eastAsia="仿宋"/>
                <w:color w:val="000000"/>
                <w:sz w:val="24"/>
                <w:szCs w:val="24"/>
                <w:highlight w:val="none"/>
                <w:lang w:val="en-US" w:eastAsia="zh-CN"/>
              </w:rPr>
              <w:t xml:space="preserve"> C</w:t>
            </w:r>
            <w:r>
              <w:rPr>
                <w:rFonts w:hint="eastAsia" w:ascii="仿宋" w:hAnsi="仿宋" w:eastAsia="仿宋"/>
                <w:color w:val="000000"/>
                <w:sz w:val="24"/>
                <w:szCs w:val="24"/>
                <w:highlight w:val="none"/>
              </w:rPr>
              <w:t>类</w:t>
            </w:r>
            <w:r>
              <w:rPr>
                <w:rFonts w:hint="eastAsia" w:ascii="仿宋" w:hAnsi="仿宋" w:eastAsia="仿宋"/>
                <w:color w:val="000000"/>
                <w:sz w:val="24"/>
                <w:szCs w:val="24"/>
                <w:highlight w:val="none"/>
                <w:lang w:val="en-US" w:eastAsia="zh-CN"/>
              </w:rPr>
              <w:t>或校级</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eastAsia" w:ascii="仿宋" w:hAnsi="仿宋" w:eastAsia="仿宋"/>
                <w:color w:val="000000"/>
                <w:sz w:val="24"/>
                <w:szCs w:val="24"/>
                <w:highlight w:val="none"/>
                <w:lang w:val="en-US" w:eastAsia="zh-CN"/>
              </w:rPr>
            </w:pPr>
            <w:r>
              <w:rPr>
                <w:rFonts w:hint="eastAsia" w:ascii="仿宋" w:hAnsi="仿宋" w:eastAsia="仿宋"/>
                <w:color w:val="000000"/>
                <w:sz w:val="24"/>
                <w:szCs w:val="24"/>
                <w:highlight w:val="none"/>
              </w:rPr>
              <w:t>A类相应分值*0.</w:t>
            </w:r>
            <w:r>
              <w:rPr>
                <w:rFonts w:hint="eastAsia" w:ascii="仿宋" w:hAnsi="仿宋" w:eastAsia="仿宋"/>
                <w:color w:val="000000"/>
                <w:sz w:val="24"/>
                <w:szCs w:val="24"/>
                <w:highlight w:val="none"/>
                <w:lang w:val="en-US" w:eastAsia="zh-CN"/>
              </w:rPr>
              <w:t>1</w:t>
            </w:r>
          </w:p>
        </w:tc>
        <w:tc>
          <w:tcPr>
            <w:tcW w:w="4964" w:type="dxa"/>
            <w:vMerge w:val="continue"/>
            <w:tcBorders>
              <w:top w:val="single" w:color="auto" w:sz="6" w:space="0"/>
              <w:left w:val="single" w:color="auto" w:sz="6" w:space="0"/>
              <w:bottom w:val="single" w:color="auto" w:sz="6" w:space="0"/>
              <w:right w:val="single" w:color="auto" w:sz="4" w:space="0"/>
            </w:tcBorders>
            <w:shd w:val="clear" w:color="auto" w:fill="FFFFFF"/>
            <w:tcMar>
              <w:top w:w="17" w:type="dxa"/>
              <w:left w:w="17" w:type="dxa"/>
              <w:bottom w:w="0" w:type="dxa"/>
              <w:right w:w="17" w:type="dxa"/>
            </w:tcMar>
            <w:vAlign w:val="center"/>
          </w:tcPr>
          <w:p>
            <w:pPr>
              <w:spacing w:line="240" w:lineRule="auto"/>
              <w:ind w:firstLine="200"/>
              <w:jc w:val="left"/>
              <w:rPr>
                <w:rFonts w:ascii="仿宋" w:hAnsi="仿宋" w:eastAsia="仿宋" w:cs="宋体"/>
                <w:color w:val="000000"/>
                <w:sz w:val="24"/>
                <w:szCs w:val="24"/>
              </w:rPr>
            </w:pPr>
          </w:p>
        </w:tc>
      </w:tr>
      <w:tr>
        <w:tblPrEx>
          <w:tblCellMar>
            <w:top w:w="0" w:type="dxa"/>
            <w:left w:w="0" w:type="dxa"/>
            <w:bottom w:w="0" w:type="dxa"/>
            <w:right w:w="0" w:type="dxa"/>
          </w:tblCellMar>
        </w:tblPrEx>
        <w:trPr>
          <w:trHeight w:val="591" w:hRule="atLeast"/>
        </w:trPr>
        <w:tc>
          <w:tcPr>
            <w:tcW w:w="1276" w:type="dxa"/>
            <w:vMerge w:val="restart"/>
            <w:tcBorders>
              <w:top w:val="single" w:color="auto" w:sz="6" w:space="0"/>
              <w:left w:val="single" w:color="auto" w:sz="4"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jc w:val="left"/>
              <w:rPr>
                <w:rFonts w:hint="eastAsia" w:ascii="仿宋" w:hAnsi="仿宋" w:eastAsia="仿宋" w:cs="宋体"/>
                <w:color w:val="000000"/>
                <w:sz w:val="24"/>
                <w:szCs w:val="24"/>
                <w:lang w:val="en-US" w:eastAsia="zh-CN"/>
              </w:rPr>
            </w:pPr>
            <w:r>
              <w:rPr>
                <w:rFonts w:hint="eastAsia" w:ascii="仿宋" w:hAnsi="仿宋" w:eastAsia="仿宋"/>
                <w:color w:val="000000"/>
                <w:sz w:val="24"/>
                <w:szCs w:val="24"/>
              </w:rPr>
              <w:t>其他</w:t>
            </w:r>
            <w:r>
              <w:rPr>
                <w:rFonts w:hint="eastAsia" w:ascii="仿宋" w:hAnsi="仿宋" w:eastAsia="仿宋"/>
                <w:color w:val="000000"/>
                <w:sz w:val="24"/>
                <w:szCs w:val="24"/>
                <w:lang w:val="en-US" w:eastAsia="zh-CN"/>
              </w:rPr>
              <w:t>获奖</w:t>
            </w: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default" w:ascii="仿宋" w:hAnsi="仿宋" w:eastAsia="仿宋" w:cs="宋体"/>
                <w:color w:val="000000"/>
                <w:kern w:val="2"/>
                <w:sz w:val="24"/>
                <w:szCs w:val="24"/>
                <w:lang w:val="en-US" w:eastAsia="zh-CN" w:bidi="ar-SA"/>
              </w:rPr>
            </w:pPr>
            <w:r>
              <w:rPr>
                <w:rFonts w:hint="eastAsia" w:ascii="仿宋" w:hAnsi="仿宋" w:eastAsia="仿宋"/>
                <w:color w:val="000000"/>
                <w:sz w:val="24"/>
                <w:szCs w:val="24"/>
                <w:lang w:val="en-US" w:eastAsia="zh-CN"/>
              </w:rPr>
              <w:t>退役士兵</w:t>
            </w:r>
          </w:p>
        </w:tc>
        <w:tc>
          <w:tcPr>
            <w:tcW w:w="1204"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ind w:firstLine="200" w:firstLineChars="0"/>
              <w:jc w:val="center"/>
              <w:rPr>
                <w:rFonts w:hint="default" w:ascii="仿宋" w:hAnsi="仿宋" w:eastAsia="仿宋" w:cs="宋体"/>
                <w:color w:val="000000"/>
                <w:kern w:val="2"/>
                <w:sz w:val="24"/>
                <w:szCs w:val="24"/>
                <w:lang w:val="en-US" w:eastAsia="zh-CN" w:bidi="ar-SA"/>
              </w:rPr>
            </w:pPr>
            <w:r>
              <w:rPr>
                <w:rFonts w:hint="eastAsia" w:ascii="仿宋" w:hAnsi="仿宋" w:eastAsia="仿宋" w:cs="宋体"/>
                <w:color w:val="000000"/>
                <w:sz w:val="24"/>
                <w:szCs w:val="24"/>
                <w:lang w:val="en-US" w:eastAsia="zh-CN"/>
              </w:rPr>
              <w:t>10分</w:t>
            </w:r>
          </w:p>
        </w:tc>
        <w:tc>
          <w:tcPr>
            <w:tcW w:w="4964" w:type="dxa"/>
            <w:tcBorders>
              <w:top w:val="single" w:color="auto" w:sz="4" w:space="0"/>
              <w:left w:val="single" w:color="auto" w:sz="6" w:space="0"/>
              <w:bottom w:val="single" w:color="auto" w:sz="4" w:space="0"/>
              <w:right w:val="single" w:color="auto" w:sz="4" w:space="0"/>
            </w:tcBorders>
            <w:shd w:val="clear" w:color="auto" w:fill="FFFFFF"/>
            <w:tcMar>
              <w:top w:w="17" w:type="dxa"/>
              <w:left w:w="17" w:type="dxa"/>
              <w:bottom w:w="0" w:type="dxa"/>
              <w:right w:w="17" w:type="dxa"/>
            </w:tcMar>
            <w:vAlign w:val="center"/>
          </w:tcPr>
          <w:p>
            <w:pPr>
              <w:spacing w:line="240" w:lineRule="auto"/>
              <w:ind w:firstLine="468" w:firstLineChars="195"/>
              <w:jc w:val="left"/>
              <w:rPr>
                <w:rFonts w:ascii="仿宋" w:hAnsi="仿宋" w:eastAsia="仿宋" w:cs="宋体"/>
                <w:color w:val="000000"/>
                <w:kern w:val="2"/>
                <w:sz w:val="24"/>
                <w:szCs w:val="24"/>
                <w:lang w:val="en-US" w:eastAsia="zh-CN" w:bidi="ar-SA"/>
              </w:rPr>
            </w:pPr>
            <w:r>
              <w:rPr>
                <w:rFonts w:hint="eastAsia" w:ascii="仿宋" w:hAnsi="仿宋" w:eastAsia="仿宋"/>
                <w:color w:val="000000"/>
                <w:sz w:val="24"/>
                <w:szCs w:val="24"/>
              </w:rPr>
              <w:t>退役士兵</w:t>
            </w:r>
            <w:r>
              <w:rPr>
                <w:rFonts w:hint="eastAsia" w:ascii="仿宋" w:hAnsi="仿宋" w:eastAsia="仿宋"/>
                <w:color w:val="000000"/>
                <w:sz w:val="24"/>
                <w:szCs w:val="24"/>
                <w:lang w:val="en-US" w:eastAsia="zh-CN"/>
              </w:rPr>
              <w:t>加</w:t>
            </w:r>
            <w:r>
              <w:rPr>
                <w:rFonts w:hint="eastAsia" w:ascii="仿宋" w:hAnsi="仿宋" w:eastAsia="仿宋"/>
                <w:color w:val="000000"/>
                <w:sz w:val="24"/>
                <w:szCs w:val="24"/>
              </w:rPr>
              <w:t>10分。</w:t>
            </w:r>
          </w:p>
        </w:tc>
      </w:tr>
      <w:tr>
        <w:tblPrEx>
          <w:tblCellMar>
            <w:top w:w="0" w:type="dxa"/>
            <w:left w:w="0" w:type="dxa"/>
            <w:bottom w:w="0" w:type="dxa"/>
            <w:right w:w="0" w:type="dxa"/>
          </w:tblCellMar>
        </w:tblPrEx>
        <w:trPr>
          <w:trHeight w:val="232" w:hRule="atLeast"/>
        </w:trPr>
        <w:tc>
          <w:tcPr>
            <w:tcW w:w="1276" w:type="dxa"/>
            <w:vMerge w:val="continue"/>
            <w:tcBorders>
              <w:left w:val="single" w:color="auto" w:sz="4"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eastAsia" w:ascii="仿宋" w:hAnsi="仿宋" w:eastAsia="仿宋" w:cs="宋体"/>
                <w:color w:val="000000"/>
                <w:sz w:val="24"/>
                <w:szCs w:val="24"/>
                <w:lang w:eastAsia="zh-CN"/>
              </w:rPr>
            </w:pPr>
            <w:r>
              <w:rPr>
                <w:rFonts w:hint="eastAsia" w:ascii="仿宋" w:hAnsi="仿宋" w:eastAsia="仿宋"/>
                <w:color w:val="000000"/>
                <w:sz w:val="24"/>
                <w:szCs w:val="24"/>
                <w:lang w:val="en-US" w:eastAsia="zh-CN"/>
              </w:rPr>
              <w:t>见义勇为</w:t>
            </w:r>
          </w:p>
        </w:tc>
        <w:tc>
          <w:tcPr>
            <w:tcW w:w="120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仿宋" w:hAnsi="仿宋" w:eastAsia="仿宋" w:cs="宋体"/>
                <w:color w:val="000000"/>
                <w:sz w:val="24"/>
                <w:szCs w:val="24"/>
                <w:lang w:val="en-US" w:eastAsia="zh-CN"/>
              </w:rPr>
            </w:pPr>
            <w:r>
              <w:rPr>
                <w:rFonts w:hint="eastAsia" w:ascii="仿宋" w:hAnsi="仿宋" w:eastAsia="仿宋"/>
                <w:color w:val="000000"/>
                <w:sz w:val="24"/>
                <w:szCs w:val="24"/>
              </w:rPr>
              <w:t>酌情加分</w:t>
            </w:r>
          </w:p>
        </w:tc>
        <w:tc>
          <w:tcPr>
            <w:tcW w:w="4964" w:type="dxa"/>
            <w:tcBorders>
              <w:top w:val="single" w:color="auto" w:sz="4" w:space="0"/>
              <w:left w:val="single" w:color="auto" w:sz="6" w:space="0"/>
              <w:bottom w:val="single" w:color="auto" w:sz="4" w:space="0"/>
              <w:right w:val="single" w:color="auto" w:sz="4" w:space="0"/>
            </w:tcBorders>
            <w:vAlign w:val="center"/>
          </w:tcPr>
          <w:p>
            <w:pPr>
              <w:spacing w:line="240" w:lineRule="auto"/>
              <w:ind w:firstLine="468" w:firstLineChars="195"/>
              <w:jc w:val="left"/>
              <w:rPr>
                <w:rFonts w:ascii="仿宋" w:hAnsi="仿宋" w:eastAsia="仿宋" w:cs="宋体"/>
                <w:color w:val="000000"/>
                <w:sz w:val="24"/>
                <w:szCs w:val="24"/>
              </w:rPr>
            </w:pPr>
            <w:r>
              <w:rPr>
                <w:rFonts w:hint="eastAsia" w:ascii="仿宋" w:hAnsi="仿宋" w:eastAsia="仿宋"/>
                <w:color w:val="000000"/>
                <w:sz w:val="24"/>
                <w:szCs w:val="24"/>
              </w:rPr>
              <w:t>具体根据情况酌情加分</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需提供政府部门颁发的证书或官方媒体报道证明</w:t>
            </w:r>
            <w:r>
              <w:rPr>
                <w:rFonts w:hint="eastAsia" w:ascii="仿宋" w:hAnsi="仿宋" w:eastAsia="仿宋"/>
                <w:color w:val="000000"/>
                <w:sz w:val="24"/>
                <w:szCs w:val="24"/>
                <w:lang w:eastAsia="zh-CN"/>
              </w:rPr>
              <w:t>）</w:t>
            </w:r>
            <w:r>
              <w:rPr>
                <w:rFonts w:hint="eastAsia" w:ascii="仿宋" w:hAnsi="仿宋" w:eastAsia="仿宋"/>
                <w:color w:val="000000"/>
                <w:sz w:val="24"/>
                <w:szCs w:val="24"/>
              </w:rPr>
              <w:t>。</w:t>
            </w:r>
          </w:p>
        </w:tc>
      </w:tr>
      <w:tr>
        <w:tblPrEx>
          <w:tblCellMar>
            <w:top w:w="0" w:type="dxa"/>
            <w:left w:w="0" w:type="dxa"/>
            <w:bottom w:w="0" w:type="dxa"/>
            <w:right w:w="0" w:type="dxa"/>
          </w:tblCellMar>
        </w:tblPrEx>
        <w:trPr>
          <w:trHeight w:val="232" w:hRule="atLeast"/>
        </w:trPr>
        <w:tc>
          <w:tcPr>
            <w:tcW w:w="1276" w:type="dxa"/>
            <w:vMerge w:val="continue"/>
            <w:tcBorders>
              <w:left w:val="single" w:color="auto" w:sz="4" w:space="0"/>
              <w:bottom w:val="single" w:color="auto" w:sz="6" w:space="0"/>
              <w:right w:val="single" w:color="auto" w:sz="6" w:space="0"/>
            </w:tcBorders>
            <w:shd w:val="clear" w:color="auto" w:fill="auto"/>
            <w:vAlign w:val="center"/>
          </w:tcPr>
          <w:p>
            <w:pPr>
              <w:spacing w:line="240" w:lineRule="auto"/>
              <w:ind w:firstLine="200"/>
              <w:jc w:val="left"/>
              <w:rPr>
                <w:rFonts w:ascii="仿宋" w:hAnsi="仿宋" w:eastAsia="仿宋" w:cs="宋体"/>
                <w:color w:val="000000"/>
                <w:sz w:val="24"/>
                <w:szCs w:val="24"/>
              </w:rPr>
            </w:pPr>
          </w:p>
        </w:tc>
        <w:tc>
          <w:tcPr>
            <w:tcW w:w="1629" w:type="dxa"/>
            <w:tcBorders>
              <w:top w:val="single" w:color="auto" w:sz="6" w:space="0"/>
              <w:left w:val="single" w:color="auto" w:sz="6" w:space="0"/>
              <w:bottom w:val="single" w:color="auto" w:sz="6" w:space="0"/>
              <w:right w:val="single" w:color="auto" w:sz="6" w:space="0"/>
            </w:tcBorders>
            <w:shd w:val="clear" w:color="auto" w:fill="FFFFFF"/>
            <w:tcMar>
              <w:top w:w="17" w:type="dxa"/>
              <w:left w:w="17" w:type="dxa"/>
              <w:bottom w:w="0" w:type="dxa"/>
              <w:right w:w="17" w:type="dxa"/>
            </w:tcMar>
            <w:vAlign w:val="center"/>
          </w:tcPr>
          <w:p>
            <w:pPr>
              <w:spacing w:line="240" w:lineRule="auto"/>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志愿服务</w:t>
            </w:r>
          </w:p>
        </w:tc>
        <w:tc>
          <w:tcPr>
            <w:tcW w:w="1204"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宋体"/>
                <w:color w:val="000000"/>
                <w:sz w:val="24"/>
                <w:szCs w:val="24"/>
                <w:lang w:eastAsia="zh-CN"/>
              </w:rPr>
            </w:pPr>
            <w:r>
              <w:rPr>
                <w:rFonts w:hint="eastAsia" w:ascii="仿宋" w:hAnsi="仿宋" w:eastAsia="仿宋"/>
                <w:color w:val="000000"/>
                <w:sz w:val="24"/>
                <w:szCs w:val="24"/>
              </w:rPr>
              <w:t>酌情加分</w:t>
            </w:r>
          </w:p>
        </w:tc>
        <w:tc>
          <w:tcPr>
            <w:tcW w:w="4964" w:type="dxa"/>
            <w:tcBorders>
              <w:top w:val="single" w:color="auto" w:sz="4" w:space="0"/>
              <w:left w:val="single" w:color="auto" w:sz="6" w:space="0"/>
              <w:bottom w:val="single" w:color="auto" w:sz="4" w:space="0"/>
              <w:right w:val="single" w:color="auto" w:sz="4" w:space="0"/>
            </w:tcBorders>
            <w:vAlign w:val="center"/>
          </w:tcPr>
          <w:p>
            <w:pPr>
              <w:spacing w:line="240" w:lineRule="auto"/>
              <w:ind w:firstLine="468" w:firstLineChars="195"/>
              <w:jc w:val="left"/>
              <w:rPr>
                <w:rFonts w:ascii="仿宋" w:hAnsi="仿宋" w:eastAsia="仿宋" w:cs="宋体"/>
                <w:color w:val="000000"/>
                <w:sz w:val="24"/>
                <w:szCs w:val="24"/>
              </w:rPr>
            </w:pPr>
            <w:r>
              <w:rPr>
                <w:rFonts w:hint="eastAsia" w:ascii="仿宋" w:hAnsi="仿宋" w:eastAsia="仿宋"/>
                <w:color w:val="000000"/>
                <w:sz w:val="24"/>
                <w:szCs w:val="24"/>
              </w:rPr>
              <w:t>具体根据情况酌情加分</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需提供政府部门颁发的证书或官方媒体报道证明</w:t>
            </w:r>
            <w:r>
              <w:rPr>
                <w:rFonts w:hint="eastAsia" w:ascii="仿宋" w:hAnsi="仿宋" w:eastAsia="仿宋"/>
                <w:color w:val="000000"/>
                <w:sz w:val="24"/>
                <w:szCs w:val="24"/>
                <w:lang w:eastAsia="zh-CN"/>
              </w:rPr>
              <w:t>）</w:t>
            </w:r>
            <w:r>
              <w:rPr>
                <w:rFonts w:hint="eastAsia" w:ascii="仿宋" w:hAnsi="仿宋" w:eastAsia="仿宋"/>
                <w:color w:val="000000"/>
                <w:sz w:val="24"/>
                <w:szCs w:val="24"/>
              </w:rPr>
              <w:t>。</w:t>
            </w:r>
          </w:p>
        </w:tc>
      </w:tr>
    </w:tbl>
    <w:p>
      <w:pPr>
        <w:adjustRightInd w:val="0"/>
        <w:spacing w:line="240" w:lineRule="auto"/>
        <w:rPr>
          <w:rFonts w:ascii="仿宋" w:hAnsi="仿宋" w:eastAsia="仿宋"/>
          <w:bCs/>
          <w:color w:val="000000"/>
          <w:sz w:val="24"/>
          <w:szCs w:val="24"/>
        </w:rPr>
      </w:pPr>
      <w:r>
        <w:rPr>
          <w:rFonts w:hint="eastAsia" w:ascii="仿宋" w:hAnsi="仿宋" w:eastAsia="仿宋"/>
          <w:b w:val="0"/>
          <w:bCs/>
          <w:color w:val="000000"/>
          <w:sz w:val="24"/>
          <w:szCs w:val="24"/>
        </w:rPr>
        <w:t>备注：其他未列的相关国家或省级获奖按相应级别由学院</w:t>
      </w:r>
      <w:r>
        <w:rPr>
          <w:rFonts w:hint="eastAsia" w:ascii="仿宋" w:hAnsi="仿宋" w:eastAsia="仿宋" w:cs="仿宋"/>
          <w:b w:val="0"/>
          <w:bCs/>
          <w:color w:val="000000"/>
          <w:sz w:val="24"/>
          <w:szCs w:val="24"/>
          <w:shd w:val="clear" w:color="auto" w:fill="FFFFFF"/>
        </w:rPr>
        <w:t>推免生遴选工作领导小组</w:t>
      </w:r>
      <w:r>
        <w:rPr>
          <w:rFonts w:hint="eastAsia" w:ascii="仿宋" w:hAnsi="仿宋" w:eastAsia="仿宋"/>
          <w:b w:val="0"/>
          <w:bCs/>
          <w:color w:val="000000"/>
          <w:sz w:val="24"/>
          <w:szCs w:val="24"/>
        </w:rPr>
        <w:t>决定加分情况</w:t>
      </w:r>
      <w:r>
        <w:rPr>
          <w:rFonts w:hint="eastAsia" w:ascii="仿宋" w:hAnsi="仿宋" w:eastAsia="仿宋"/>
          <w:bCs/>
          <w:color w:val="000000"/>
          <w:sz w:val="24"/>
          <w:szCs w:val="24"/>
        </w:rPr>
        <w:t>。</w:t>
      </w:r>
    </w:p>
    <w:p>
      <w:pPr>
        <w:adjustRightInd w:val="0"/>
        <w:spacing w:line="560" w:lineRule="exact"/>
        <w:rPr>
          <w:rFonts w:ascii="仿宋" w:hAnsi="仿宋" w:eastAsia="仿宋"/>
          <w:b/>
          <w:color w:val="000000"/>
          <w:sz w:val="28"/>
          <w:szCs w:val="28"/>
        </w:rPr>
      </w:pPr>
      <w:r>
        <w:rPr>
          <w:rFonts w:hint="eastAsia" w:ascii="仿宋" w:hAnsi="仿宋" w:eastAsia="仿宋"/>
          <w:b/>
          <w:color w:val="000000"/>
          <w:sz w:val="28"/>
          <w:szCs w:val="28"/>
        </w:rPr>
        <w:t>二、科研与创新能力积分细则</w:t>
      </w:r>
    </w:p>
    <w:tbl>
      <w:tblPr>
        <w:tblStyle w:val="5"/>
        <w:tblW w:w="9214" w:type="dxa"/>
        <w:tblInd w:w="-125" w:type="dxa"/>
        <w:tblLayout w:type="fixed"/>
        <w:tblCellMar>
          <w:top w:w="0" w:type="dxa"/>
          <w:left w:w="0" w:type="dxa"/>
          <w:bottom w:w="0" w:type="dxa"/>
          <w:right w:w="0" w:type="dxa"/>
        </w:tblCellMar>
      </w:tblPr>
      <w:tblGrid>
        <w:gridCol w:w="1291"/>
        <w:gridCol w:w="1622"/>
        <w:gridCol w:w="852"/>
        <w:gridCol w:w="5449"/>
      </w:tblGrid>
      <w:tr>
        <w:tblPrEx>
          <w:tblCellMar>
            <w:top w:w="0" w:type="dxa"/>
            <w:left w:w="0" w:type="dxa"/>
            <w:bottom w:w="0" w:type="dxa"/>
            <w:right w:w="0"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ascii="仿宋" w:hAnsi="仿宋" w:eastAsia="仿宋"/>
                <w:color w:val="000000"/>
                <w:sz w:val="24"/>
                <w:szCs w:val="24"/>
              </w:rPr>
            </w:pPr>
            <w:r>
              <w:rPr>
                <w:rFonts w:hint="eastAsia" w:ascii="仿宋" w:hAnsi="仿宋" w:eastAsia="仿宋"/>
                <w:color w:val="000000"/>
                <w:sz w:val="24"/>
                <w:szCs w:val="24"/>
              </w:rPr>
              <w:t>类别</w:t>
            </w:r>
            <w:r>
              <w:rPr>
                <w:rFonts w:ascii="仿宋" w:hAnsi="仿宋" w:eastAsia="仿宋"/>
                <w:color w:val="000000"/>
                <w:sz w:val="24"/>
                <w:szCs w:val="24"/>
              </w:rPr>
              <w:t>　</w:t>
            </w: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ascii="仿宋" w:hAnsi="仿宋" w:eastAsia="仿宋" w:cs="宋体"/>
                <w:color w:val="000000"/>
                <w:sz w:val="24"/>
                <w:szCs w:val="24"/>
              </w:rPr>
            </w:pPr>
            <w:r>
              <w:rPr>
                <w:rFonts w:hint="eastAsia" w:ascii="仿宋" w:hAnsi="仿宋" w:eastAsia="仿宋"/>
                <w:color w:val="000000"/>
                <w:sz w:val="24"/>
                <w:szCs w:val="24"/>
              </w:rPr>
              <w:t>级别</w:t>
            </w:r>
          </w:p>
        </w:tc>
        <w:tc>
          <w:tcPr>
            <w:tcW w:w="85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40" w:firstLineChars="100"/>
              <w:jc w:val="both"/>
              <w:rPr>
                <w:rFonts w:ascii="仿宋" w:hAnsi="仿宋" w:eastAsia="仿宋" w:cs="宋体"/>
                <w:color w:val="000000"/>
                <w:sz w:val="24"/>
                <w:szCs w:val="24"/>
              </w:rPr>
            </w:pPr>
            <w:r>
              <w:rPr>
                <w:rFonts w:hint="eastAsia" w:ascii="仿宋" w:hAnsi="仿宋" w:eastAsia="仿宋"/>
                <w:color w:val="000000"/>
                <w:sz w:val="24"/>
                <w:szCs w:val="24"/>
              </w:rPr>
              <w:t>分值</w:t>
            </w:r>
          </w:p>
        </w:tc>
        <w:tc>
          <w:tcPr>
            <w:tcW w:w="5449"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eastAsia" w:ascii="仿宋" w:hAnsi="仿宋" w:eastAsia="仿宋" w:cs="宋体"/>
                <w:color w:val="000000"/>
                <w:sz w:val="24"/>
                <w:szCs w:val="24"/>
                <w:lang w:eastAsia="zh-CN"/>
              </w:rPr>
            </w:pPr>
            <w:r>
              <w:rPr>
                <w:rFonts w:hint="eastAsia" w:ascii="仿宋" w:hAnsi="仿宋" w:eastAsia="仿宋"/>
                <w:color w:val="000000"/>
                <w:sz w:val="24"/>
                <w:szCs w:val="24"/>
                <w:lang w:val="en-US" w:eastAsia="zh-CN"/>
              </w:rPr>
              <w:t>说明</w:t>
            </w:r>
          </w:p>
        </w:tc>
      </w:tr>
      <w:tr>
        <w:tblPrEx>
          <w:tblCellMar>
            <w:top w:w="0" w:type="dxa"/>
            <w:left w:w="0" w:type="dxa"/>
            <w:bottom w:w="0" w:type="dxa"/>
            <w:right w:w="0" w:type="dxa"/>
          </w:tblCellMar>
        </w:tblPrEx>
        <w:trPr>
          <w:trHeight w:val="628" w:hRule="atLeast"/>
        </w:trPr>
        <w:tc>
          <w:tcPr>
            <w:tcW w:w="1291" w:type="dxa"/>
            <w:vMerge w:val="restart"/>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jc w:val="both"/>
              <w:rPr>
                <w:rFonts w:hint="default" w:ascii="仿宋" w:hAnsi="仿宋" w:eastAsia="仿宋" w:cs="宋体"/>
                <w:color w:val="000000"/>
                <w:sz w:val="24"/>
                <w:szCs w:val="24"/>
                <w:highlight w:val="none"/>
                <w:lang w:val="en-US"/>
              </w:rPr>
            </w:pPr>
            <w:r>
              <w:rPr>
                <w:rFonts w:hint="eastAsia" w:ascii="仿宋" w:hAnsi="仿宋" w:eastAsia="仿宋"/>
                <w:color w:val="000000"/>
                <w:sz w:val="24"/>
                <w:szCs w:val="24"/>
                <w:highlight w:val="none"/>
                <w:lang w:val="en-US" w:eastAsia="zh-CN"/>
              </w:rPr>
              <w:t>校级大学生</w:t>
            </w:r>
            <w:r>
              <w:rPr>
                <w:rFonts w:hint="eastAsia" w:ascii="仿宋" w:hAnsi="仿宋" w:eastAsia="仿宋"/>
                <w:color w:val="000000"/>
                <w:sz w:val="24"/>
                <w:szCs w:val="24"/>
                <w:highlight w:val="none"/>
              </w:rPr>
              <w:t>科研</w:t>
            </w:r>
            <w:r>
              <w:rPr>
                <w:rFonts w:hint="eastAsia" w:ascii="仿宋" w:hAnsi="仿宋" w:eastAsia="仿宋"/>
                <w:color w:val="000000"/>
                <w:sz w:val="24"/>
                <w:szCs w:val="24"/>
                <w:highlight w:val="none"/>
                <w:lang w:val="en-US" w:eastAsia="zh-CN"/>
              </w:rPr>
              <w:t>创新基金项目</w:t>
            </w: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eastAsia"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重点</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40</w:t>
            </w:r>
            <w:r>
              <w:rPr>
                <w:rFonts w:hint="eastAsia" w:ascii="仿宋" w:hAnsi="仿宋" w:eastAsia="仿宋"/>
                <w:color w:val="000000"/>
                <w:sz w:val="24"/>
                <w:szCs w:val="24"/>
                <w:highlight w:val="none"/>
              </w:rPr>
              <w:t>分</w:t>
            </w:r>
          </w:p>
        </w:tc>
        <w:tc>
          <w:tcPr>
            <w:tcW w:w="5449" w:type="dxa"/>
            <w:vMerge w:val="restart"/>
            <w:tcBorders>
              <w:top w:val="single" w:color="auto" w:sz="4" w:space="0"/>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1</w:t>
            </w:r>
            <w:r>
              <w:rPr>
                <w:rFonts w:ascii="仿宋" w:hAnsi="仿宋" w:eastAsia="仿宋"/>
                <w:color w:val="000000"/>
                <w:sz w:val="24"/>
                <w:szCs w:val="24"/>
                <w:highlight w:val="none"/>
              </w:rPr>
              <w:t>.</w:t>
            </w:r>
            <w:r>
              <w:rPr>
                <w:rFonts w:hint="eastAsia" w:ascii="仿宋" w:hAnsi="仿宋" w:eastAsia="仿宋"/>
                <w:color w:val="000000"/>
                <w:sz w:val="24"/>
                <w:szCs w:val="24"/>
                <w:highlight w:val="none"/>
              </w:rPr>
              <w:t>项目</w:t>
            </w:r>
            <w:r>
              <w:rPr>
                <w:rFonts w:hint="eastAsia" w:ascii="仿宋" w:hAnsi="仿宋" w:eastAsia="仿宋"/>
                <w:color w:val="000000"/>
                <w:sz w:val="24"/>
                <w:szCs w:val="24"/>
                <w:highlight w:val="none"/>
                <w:lang w:val="en-US" w:eastAsia="zh-CN"/>
              </w:rPr>
              <w:t>主持人</w:t>
            </w:r>
            <w:r>
              <w:rPr>
                <w:rFonts w:hint="eastAsia" w:ascii="仿宋" w:hAnsi="仿宋" w:eastAsia="仿宋"/>
                <w:color w:val="000000"/>
                <w:sz w:val="24"/>
                <w:szCs w:val="24"/>
                <w:highlight w:val="none"/>
              </w:rPr>
              <w:t>立项、结项时分获一半分值；</w:t>
            </w:r>
          </w:p>
          <w:p>
            <w:pPr>
              <w:spacing w:line="240" w:lineRule="auto"/>
              <w:ind w:firstLine="200"/>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lang w:val="en-US" w:eastAsia="zh-CN"/>
              </w:rPr>
              <w:t>2</w:t>
            </w:r>
            <w:r>
              <w:rPr>
                <w:rFonts w:ascii="仿宋" w:hAnsi="仿宋" w:eastAsia="仿宋"/>
                <w:color w:val="000000"/>
                <w:sz w:val="24"/>
                <w:szCs w:val="24"/>
                <w:highlight w:val="none"/>
              </w:rPr>
              <w:t>.</w:t>
            </w:r>
            <w:r>
              <w:rPr>
                <w:rFonts w:hint="eastAsia" w:ascii="仿宋" w:hAnsi="仿宋" w:eastAsia="仿宋"/>
                <w:color w:val="000000"/>
                <w:sz w:val="24"/>
                <w:szCs w:val="24"/>
                <w:highlight w:val="none"/>
              </w:rPr>
              <w:t>项目参与人凭结项证书一次性获得积分</w:t>
            </w:r>
            <w:r>
              <w:rPr>
                <w:rFonts w:hint="eastAsia" w:ascii="仿宋" w:hAnsi="仿宋" w:eastAsia="仿宋"/>
                <w:color w:val="000000"/>
                <w:sz w:val="24"/>
                <w:szCs w:val="24"/>
                <w:highlight w:val="none"/>
                <w:lang w:eastAsia="zh-CN"/>
              </w:rPr>
              <w:t>；</w:t>
            </w:r>
          </w:p>
          <w:p>
            <w:pPr>
              <w:spacing w:line="240" w:lineRule="auto"/>
              <w:ind w:firstLine="200"/>
              <w:rPr>
                <w:rFonts w:hint="default" w:ascii="仿宋" w:hAnsi="仿宋" w:eastAsia="仿宋"/>
                <w:color w:val="000000"/>
                <w:sz w:val="24"/>
                <w:szCs w:val="24"/>
                <w:highlight w:val="none"/>
                <w:lang w:val="en-US" w:eastAsia="zh-CN"/>
              </w:rPr>
            </w:pPr>
            <w:r>
              <w:rPr>
                <w:rFonts w:hint="eastAsia" w:ascii="仿宋" w:hAnsi="仿宋" w:eastAsia="仿宋"/>
                <w:color w:val="000000"/>
                <w:sz w:val="24"/>
                <w:szCs w:val="24"/>
                <w:highlight w:val="none"/>
                <w:lang w:val="en-US" w:eastAsia="zh-CN"/>
              </w:rPr>
              <w:t>3.</w:t>
            </w:r>
            <w:r>
              <w:rPr>
                <w:rFonts w:hint="eastAsia" w:ascii="仿宋" w:hAnsi="仿宋" w:eastAsia="仿宋"/>
                <w:color w:val="000000"/>
                <w:sz w:val="24"/>
                <w:szCs w:val="24"/>
                <w:highlight w:val="none"/>
              </w:rPr>
              <w:t>第</w:t>
            </w:r>
            <w:r>
              <w:rPr>
                <w:rFonts w:hint="eastAsia" w:ascii="仿宋" w:hAnsi="仿宋" w:eastAsia="仿宋"/>
                <w:color w:val="000000"/>
                <w:sz w:val="24"/>
                <w:szCs w:val="24"/>
                <w:highlight w:val="none"/>
                <w:lang w:val="en-US" w:eastAsia="zh-CN"/>
              </w:rPr>
              <w:t>二至第五名成员</w:t>
            </w:r>
            <w:r>
              <w:rPr>
                <w:rFonts w:hint="eastAsia" w:ascii="仿宋" w:hAnsi="仿宋" w:eastAsia="仿宋"/>
                <w:color w:val="000000"/>
                <w:sz w:val="24"/>
                <w:szCs w:val="24"/>
                <w:highlight w:val="none"/>
              </w:rPr>
              <w:t>得分为</w:t>
            </w:r>
            <w:r>
              <w:rPr>
                <w:rFonts w:hint="eastAsia" w:ascii="仿宋" w:hAnsi="仿宋" w:eastAsia="仿宋"/>
                <w:color w:val="000000"/>
                <w:sz w:val="24"/>
                <w:szCs w:val="24"/>
                <w:highlight w:val="none"/>
                <w:lang w:val="en-US" w:eastAsia="zh-CN"/>
              </w:rPr>
              <w:t>该项</w:t>
            </w:r>
            <w:r>
              <w:rPr>
                <w:rFonts w:hint="eastAsia" w:ascii="仿宋" w:hAnsi="仿宋" w:eastAsia="仿宋"/>
                <w:color w:val="000000"/>
                <w:sz w:val="24"/>
                <w:szCs w:val="24"/>
                <w:highlight w:val="none"/>
              </w:rPr>
              <w:t>分值的</w:t>
            </w:r>
            <w:r>
              <w:rPr>
                <w:rFonts w:hint="eastAsia" w:ascii="仿宋" w:hAnsi="仿宋" w:eastAsia="仿宋"/>
                <w:color w:val="000000"/>
                <w:sz w:val="24"/>
                <w:szCs w:val="24"/>
                <w:highlight w:val="none"/>
                <w:lang w:val="en-US" w:eastAsia="zh-CN"/>
              </w:rPr>
              <w:t>0.5、0.4、</w:t>
            </w:r>
            <w:r>
              <w:rPr>
                <w:rFonts w:hint="eastAsia" w:ascii="仿宋" w:hAnsi="仿宋" w:eastAsia="仿宋"/>
                <w:color w:val="000000"/>
                <w:sz w:val="24"/>
                <w:szCs w:val="24"/>
                <w:highlight w:val="none"/>
              </w:rPr>
              <w:t>0.</w:t>
            </w:r>
            <w:r>
              <w:rPr>
                <w:rFonts w:hint="eastAsia" w:ascii="仿宋" w:hAnsi="仿宋" w:eastAsia="仿宋"/>
                <w:color w:val="000000"/>
                <w:sz w:val="24"/>
                <w:szCs w:val="24"/>
                <w:highlight w:val="none"/>
                <w:lang w:val="en-US" w:eastAsia="zh-CN"/>
              </w:rPr>
              <w:t>2</w:t>
            </w:r>
            <w:r>
              <w:rPr>
                <w:rFonts w:hint="eastAsia" w:ascii="仿宋" w:hAnsi="仿宋" w:eastAsia="仿宋"/>
                <w:color w:val="000000"/>
                <w:sz w:val="24"/>
                <w:szCs w:val="24"/>
                <w:highlight w:val="none"/>
              </w:rPr>
              <w:t>、0.</w:t>
            </w:r>
            <w:r>
              <w:rPr>
                <w:rFonts w:hint="eastAsia" w:ascii="仿宋" w:hAnsi="仿宋" w:eastAsia="仿宋"/>
                <w:color w:val="000000"/>
                <w:sz w:val="24"/>
                <w:szCs w:val="24"/>
                <w:highlight w:val="none"/>
                <w:lang w:val="en-US" w:eastAsia="zh-CN"/>
              </w:rPr>
              <w:t>1。</w:t>
            </w:r>
          </w:p>
        </w:tc>
      </w:tr>
      <w:tr>
        <w:tblPrEx>
          <w:tblCellMar>
            <w:top w:w="0" w:type="dxa"/>
            <w:left w:w="0" w:type="dxa"/>
            <w:bottom w:w="0" w:type="dxa"/>
            <w:right w:w="0" w:type="dxa"/>
          </w:tblCellMar>
        </w:tblPrEx>
        <w:trPr>
          <w:trHeight w:val="642" w:hRule="atLeast"/>
        </w:trPr>
        <w:tc>
          <w:tcPr>
            <w:tcW w:w="1291" w:type="dxa"/>
            <w:vMerge w:val="continue"/>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ascii="仿宋" w:hAnsi="仿宋" w:eastAsia="仿宋"/>
                <w:color w:val="000000"/>
                <w:sz w:val="24"/>
                <w:szCs w:val="24"/>
                <w:highlight w:val="none"/>
              </w:rPr>
            </w:pP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lang w:val="en-US" w:eastAsia="zh-CN"/>
              </w:rPr>
              <w:t>一般</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30</w:t>
            </w:r>
            <w:r>
              <w:rPr>
                <w:rFonts w:hint="eastAsia" w:ascii="仿宋" w:hAnsi="仿宋" w:eastAsia="仿宋"/>
                <w:color w:val="000000"/>
                <w:sz w:val="24"/>
                <w:szCs w:val="24"/>
                <w:highlight w:val="none"/>
              </w:rPr>
              <w:t>分</w:t>
            </w:r>
          </w:p>
        </w:tc>
        <w:tc>
          <w:tcPr>
            <w:tcW w:w="5449" w:type="dxa"/>
            <w:vMerge w:val="continue"/>
            <w:tcBorders>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546" w:hRule="atLeast"/>
        </w:trPr>
        <w:tc>
          <w:tcPr>
            <w:tcW w:w="1291" w:type="dxa"/>
            <w:vMerge w:val="restart"/>
            <w:tcBorders>
              <w:top w:val="single" w:color="auto" w:sz="4" w:space="0"/>
              <w:left w:val="single" w:color="auto" w:sz="4" w:space="0"/>
              <w:right w:val="single" w:color="auto" w:sz="4" w:space="0"/>
            </w:tcBorders>
            <w:vAlign w:val="center"/>
          </w:tcPr>
          <w:p>
            <w:pPr>
              <w:spacing w:line="24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大学生创新创业训练计划项目</w:t>
            </w:r>
          </w:p>
        </w:tc>
        <w:tc>
          <w:tcPr>
            <w:tcW w:w="1622"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国家级</w:t>
            </w:r>
          </w:p>
        </w:tc>
        <w:tc>
          <w:tcPr>
            <w:tcW w:w="852"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jc w:val="center"/>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rPr>
              <w:t>5</w:t>
            </w:r>
            <w:r>
              <w:rPr>
                <w:rFonts w:ascii="仿宋" w:hAnsi="仿宋" w:eastAsia="仿宋"/>
                <w:color w:val="000000"/>
                <w:sz w:val="24"/>
                <w:szCs w:val="24"/>
                <w:highlight w:val="none"/>
              </w:rPr>
              <w:t>0</w:t>
            </w:r>
            <w:r>
              <w:rPr>
                <w:rFonts w:hint="eastAsia" w:ascii="仿宋" w:hAnsi="仿宋" w:eastAsia="仿宋"/>
                <w:color w:val="000000"/>
                <w:sz w:val="24"/>
                <w:szCs w:val="24"/>
                <w:highlight w:val="none"/>
              </w:rPr>
              <w:t>分</w:t>
            </w:r>
          </w:p>
        </w:tc>
        <w:tc>
          <w:tcPr>
            <w:tcW w:w="5449" w:type="dxa"/>
            <w:vMerge w:val="restart"/>
            <w:tcBorders>
              <w:top w:val="single" w:color="auto" w:sz="4" w:space="0"/>
              <w:left w:val="single" w:color="auto" w:sz="4" w:space="0"/>
              <w:right w:val="single" w:color="auto" w:sz="4" w:space="0"/>
            </w:tcBorders>
            <w:tcMar>
              <w:top w:w="17" w:type="dxa"/>
              <w:left w:w="17" w:type="dxa"/>
              <w:bottom w:w="0" w:type="dxa"/>
              <w:right w:w="17" w:type="dxa"/>
            </w:tcMar>
            <w:vAlign w:val="center"/>
          </w:tcPr>
          <w:p>
            <w:pPr>
              <w:spacing w:line="240" w:lineRule="auto"/>
              <w:ind w:firstLine="468" w:firstLineChars="195"/>
              <w:rPr>
                <w:rFonts w:ascii="仿宋" w:hAnsi="仿宋" w:eastAsia="仿宋"/>
                <w:color w:val="000000"/>
                <w:sz w:val="24"/>
                <w:szCs w:val="24"/>
                <w:highlight w:val="none"/>
              </w:rPr>
            </w:pPr>
            <w:r>
              <w:rPr>
                <w:rFonts w:hint="eastAsia" w:ascii="仿宋" w:hAnsi="仿宋" w:eastAsia="仿宋"/>
                <w:color w:val="000000"/>
                <w:sz w:val="24"/>
                <w:szCs w:val="24"/>
                <w:highlight w:val="none"/>
              </w:rPr>
              <w:t>大学生创新创业训练计划项目</w:t>
            </w:r>
            <w:r>
              <w:rPr>
                <w:rFonts w:hint="eastAsia" w:ascii="仿宋" w:hAnsi="仿宋" w:eastAsia="仿宋"/>
                <w:color w:val="000000"/>
                <w:sz w:val="24"/>
                <w:szCs w:val="24"/>
                <w:highlight w:val="none"/>
                <w:lang w:val="en-US" w:eastAsia="zh-CN"/>
              </w:rPr>
              <w:t>加分规则同大学生科研创新基金项目</w:t>
            </w:r>
            <w:r>
              <w:rPr>
                <w:rFonts w:hint="eastAsia" w:ascii="仿宋" w:hAnsi="仿宋" w:eastAsia="仿宋"/>
                <w:color w:val="000000"/>
                <w:sz w:val="24"/>
                <w:szCs w:val="24"/>
                <w:highlight w:val="none"/>
              </w:rPr>
              <w:t>。</w:t>
            </w:r>
          </w:p>
        </w:tc>
      </w:tr>
      <w:tr>
        <w:tblPrEx>
          <w:tblCellMar>
            <w:top w:w="0" w:type="dxa"/>
            <w:left w:w="0" w:type="dxa"/>
            <w:bottom w:w="0" w:type="dxa"/>
            <w:right w:w="0" w:type="dxa"/>
          </w:tblCellMar>
        </w:tblPrEx>
        <w:trPr>
          <w:trHeight w:val="437" w:hRule="atLeast"/>
        </w:trPr>
        <w:tc>
          <w:tcPr>
            <w:tcW w:w="1291" w:type="dxa"/>
            <w:vMerge w:val="continue"/>
            <w:tcBorders>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省级</w:t>
            </w:r>
          </w:p>
        </w:tc>
        <w:tc>
          <w:tcPr>
            <w:tcW w:w="852"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jc w:val="center"/>
              <w:rPr>
                <w:rFonts w:hint="eastAsia" w:ascii="仿宋" w:hAnsi="仿宋" w:eastAsia="仿宋"/>
                <w:color w:val="000000"/>
                <w:sz w:val="24"/>
                <w:szCs w:val="24"/>
                <w:highlight w:val="none"/>
                <w:lang w:eastAsia="zh-CN"/>
              </w:rPr>
            </w:pPr>
            <w:r>
              <w:rPr>
                <w:rFonts w:hint="eastAsia" w:ascii="仿宋" w:hAnsi="仿宋" w:eastAsia="仿宋"/>
                <w:color w:val="000000"/>
                <w:sz w:val="24"/>
                <w:szCs w:val="24"/>
                <w:highlight w:val="none"/>
              </w:rPr>
              <w:t>3</w:t>
            </w:r>
            <w:r>
              <w:rPr>
                <w:rFonts w:ascii="仿宋" w:hAnsi="仿宋" w:eastAsia="仿宋"/>
                <w:color w:val="000000"/>
                <w:sz w:val="24"/>
                <w:szCs w:val="24"/>
                <w:highlight w:val="none"/>
              </w:rPr>
              <w:t>0</w:t>
            </w:r>
            <w:r>
              <w:rPr>
                <w:rFonts w:hint="eastAsia" w:ascii="仿宋" w:hAnsi="仿宋" w:eastAsia="仿宋"/>
                <w:color w:val="000000"/>
                <w:sz w:val="24"/>
                <w:szCs w:val="24"/>
                <w:highlight w:val="none"/>
              </w:rPr>
              <w:t>分</w:t>
            </w:r>
          </w:p>
        </w:tc>
        <w:tc>
          <w:tcPr>
            <w:tcW w:w="5449"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285" w:hRule="atLeast"/>
        </w:trPr>
        <w:tc>
          <w:tcPr>
            <w:tcW w:w="1291" w:type="dxa"/>
            <w:vMerge w:val="restart"/>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论文发表</w:t>
            </w: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default" w:ascii="仿宋" w:hAnsi="仿宋" w:eastAsia="仿宋" w:cs="宋体"/>
                <w:color w:val="000000"/>
                <w:sz w:val="24"/>
                <w:szCs w:val="24"/>
                <w:highlight w:val="none"/>
                <w:lang w:val="en-US" w:eastAsia="zh-CN"/>
              </w:rPr>
            </w:pPr>
            <w:r>
              <w:rPr>
                <w:rFonts w:hint="eastAsia" w:ascii="仿宋" w:hAnsi="仿宋" w:eastAsia="仿宋"/>
                <w:color w:val="000000"/>
                <w:sz w:val="24"/>
                <w:szCs w:val="24"/>
                <w:highlight w:val="none"/>
                <w:lang w:val="en-US" w:eastAsia="zh-CN"/>
              </w:rPr>
              <w:t>A、A+</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hint="eastAsia" w:ascii="仿宋" w:hAnsi="仿宋" w:eastAsia="仿宋" w:cs="宋体"/>
                <w:color w:val="000000"/>
                <w:sz w:val="24"/>
                <w:szCs w:val="24"/>
                <w:highlight w:val="none"/>
                <w:lang w:val="en-US" w:eastAsia="zh-CN"/>
              </w:rPr>
            </w:pPr>
            <w:r>
              <w:rPr>
                <w:rFonts w:hint="eastAsia" w:ascii="仿宋" w:hAnsi="仿宋" w:eastAsia="仿宋"/>
                <w:color w:val="000000"/>
                <w:sz w:val="24"/>
                <w:szCs w:val="24"/>
                <w:highlight w:val="none"/>
                <w:lang w:val="en-US" w:eastAsia="zh-CN"/>
              </w:rPr>
              <w:t>20</w:t>
            </w:r>
            <w:r>
              <w:rPr>
                <w:rFonts w:ascii="仿宋" w:hAnsi="仿宋" w:eastAsia="仿宋"/>
                <w:color w:val="000000"/>
                <w:sz w:val="24"/>
                <w:szCs w:val="24"/>
                <w:highlight w:val="none"/>
              </w:rPr>
              <w:t>0</w:t>
            </w:r>
            <w:r>
              <w:rPr>
                <w:rFonts w:hint="eastAsia" w:ascii="仿宋" w:hAnsi="仿宋" w:eastAsia="仿宋"/>
                <w:color w:val="000000"/>
                <w:sz w:val="24"/>
                <w:szCs w:val="24"/>
                <w:highlight w:val="none"/>
              </w:rPr>
              <w:t>分</w:t>
            </w:r>
          </w:p>
        </w:tc>
        <w:tc>
          <w:tcPr>
            <w:tcW w:w="5449" w:type="dxa"/>
            <w:vMerge w:val="restart"/>
            <w:tcBorders>
              <w:top w:val="single" w:color="auto" w:sz="4" w:space="0"/>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r>
              <w:rPr>
                <w:rFonts w:ascii="仿宋" w:hAnsi="仿宋" w:eastAsia="仿宋"/>
                <w:color w:val="000000"/>
                <w:sz w:val="24"/>
                <w:szCs w:val="24"/>
                <w:highlight w:val="none"/>
              </w:rPr>
              <w:t>1.</w:t>
            </w:r>
            <w:r>
              <w:rPr>
                <w:rFonts w:hint="eastAsia" w:ascii="仿宋" w:hAnsi="仿宋" w:eastAsia="仿宋"/>
                <w:color w:val="000000"/>
                <w:sz w:val="24"/>
                <w:szCs w:val="24"/>
                <w:highlight w:val="none"/>
              </w:rPr>
              <w:t>论文分类标准参见《安徽</w:t>
            </w:r>
            <w:r>
              <w:rPr>
                <w:rFonts w:hint="eastAsia" w:ascii="仿宋" w:hAnsi="仿宋" w:eastAsia="仿宋"/>
                <w:color w:val="000000"/>
                <w:sz w:val="24"/>
                <w:szCs w:val="24"/>
                <w:highlight w:val="none"/>
                <w:lang w:val="en-US" w:eastAsia="zh-CN"/>
              </w:rPr>
              <w:t>财经大学学术期刊参考目录</w:t>
            </w:r>
            <w:r>
              <w:rPr>
                <w:rFonts w:hint="eastAsia" w:ascii="仿宋" w:hAnsi="仿宋" w:eastAsia="仿宋"/>
                <w:color w:val="000000"/>
                <w:sz w:val="24"/>
                <w:szCs w:val="24"/>
                <w:highlight w:val="none"/>
              </w:rPr>
              <w:t>》；</w:t>
            </w:r>
          </w:p>
          <w:p>
            <w:pPr>
              <w:spacing w:line="240" w:lineRule="auto"/>
              <w:ind w:firstLine="200"/>
              <w:rPr>
                <w:rFonts w:hint="eastAsia" w:ascii="仿宋" w:hAnsi="仿宋" w:eastAsia="仿宋"/>
                <w:color w:val="000000"/>
                <w:sz w:val="24"/>
                <w:szCs w:val="24"/>
                <w:highlight w:val="none"/>
                <w:lang w:eastAsia="zh-CN"/>
              </w:rPr>
            </w:pPr>
            <w:r>
              <w:rPr>
                <w:rFonts w:ascii="仿宋" w:hAnsi="仿宋" w:eastAsia="仿宋"/>
                <w:color w:val="000000"/>
                <w:sz w:val="24"/>
                <w:szCs w:val="24"/>
                <w:highlight w:val="none"/>
              </w:rPr>
              <w:t>2</w:t>
            </w:r>
            <w:r>
              <w:rPr>
                <w:rFonts w:hint="eastAsia" w:ascii="仿宋" w:hAnsi="仿宋" w:eastAsia="仿宋"/>
                <w:color w:val="000000"/>
                <w:sz w:val="24"/>
                <w:szCs w:val="24"/>
                <w:highlight w:val="none"/>
              </w:rPr>
              <w:t>.</w:t>
            </w:r>
            <w:r>
              <w:rPr>
                <w:rFonts w:hint="eastAsia" w:ascii="仿宋" w:hAnsi="仿宋" w:eastAsia="仿宋"/>
                <w:color w:val="000000"/>
                <w:sz w:val="24"/>
                <w:szCs w:val="24"/>
                <w:highlight w:val="none"/>
                <w:lang w:val="en-US" w:eastAsia="zh-CN"/>
              </w:rPr>
              <w:t>第一作者</w:t>
            </w:r>
            <w:r>
              <w:rPr>
                <w:rFonts w:ascii="仿宋" w:hAnsi="仿宋" w:eastAsia="仿宋"/>
                <w:color w:val="000000"/>
                <w:sz w:val="24"/>
                <w:szCs w:val="24"/>
                <w:highlight w:val="none"/>
              </w:rPr>
              <w:t>按对应级别的</w:t>
            </w:r>
            <w:r>
              <w:rPr>
                <w:rFonts w:hint="eastAsia" w:ascii="仿宋" w:hAnsi="仿宋" w:eastAsia="仿宋"/>
                <w:color w:val="000000"/>
                <w:sz w:val="24"/>
                <w:szCs w:val="24"/>
                <w:highlight w:val="none"/>
                <w:lang w:val="en-US" w:eastAsia="zh-CN"/>
              </w:rPr>
              <w:t>分值</w:t>
            </w:r>
            <w:r>
              <w:rPr>
                <w:rFonts w:ascii="仿宋" w:hAnsi="仿宋" w:eastAsia="仿宋"/>
                <w:color w:val="000000"/>
                <w:sz w:val="24"/>
                <w:szCs w:val="24"/>
                <w:highlight w:val="none"/>
              </w:rPr>
              <w:t>加分，</w:t>
            </w:r>
            <w:r>
              <w:rPr>
                <w:rFonts w:hint="eastAsia" w:ascii="仿宋" w:hAnsi="仿宋" w:eastAsia="仿宋"/>
                <w:color w:val="000000"/>
                <w:sz w:val="24"/>
                <w:szCs w:val="24"/>
                <w:highlight w:val="none"/>
              </w:rPr>
              <w:t>第二、第三作者得分为</w:t>
            </w:r>
            <w:r>
              <w:rPr>
                <w:rFonts w:hint="eastAsia" w:ascii="仿宋" w:hAnsi="仿宋" w:eastAsia="仿宋"/>
                <w:color w:val="000000"/>
                <w:sz w:val="24"/>
                <w:szCs w:val="24"/>
                <w:highlight w:val="none"/>
                <w:lang w:val="en-US" w:eastAsia="zh-CN"/>
              </w:rPr>
              <w:t>该项</w:t>
            </w:r>
            <w:r>
              <w:rPr>
                <w:rFonts w:hint="eastAsia" w:ascii="仿宋" w:hAnsi="仿宋" w:eastAsia="仿宋"/>
                <w:color w:val="000000"/>
                <w:sz w:val="24"/>
                <w:szCs w:val="24"/>
                <w:highlight w:val="none"/>
              </w:rPr>
              <w:t>分值的0.3、0.2</w:t>
            </w:r>
            <w:r>
              <w:rPr>
                <w:rFonts w:hint="eastAsia" w:ascii="仿宋" w:hAnsi="仿宋" w:eastAsia="仿宋"/>
                <w:color w:val="000000"/>
                <w:sz w:val="24"/>
                <w:szCs w:val="24"/>
                <w:highlight w:val="none"/>
                <w:lang w:eastAsia="zh-CN"/>
              </w:rPr>
              <w:t>；</w:t>
            </w:r>
          </w:p>
          <w:p>
            <w:pPr>
              <w:spacing w:line="240" w:lineRule="auto"/>
              <w:ind w:firstLine="200"/>
              <w:rPr>
                <w:rFonts w:hint="default" w:ascii="仿宋" w:hAnsi="仿宋" w:eastAsia="仿宋"/>
                <w:color w:val="000000"/>
                <w:sz w:val="24"/>
                <w:szCs w:val="24"/>
                <w:highlight w:val="none"/>
                <w:lang w:val="en-US" w:eastAsia="zh-CN"/>
              </w:rPr>
            </w:pPr>
            <w:r>
              <w:rPr>
                <w:rFonts w:hint="eastAsia" w:ascii="仿宋" w:hAnsi="仿宋" w:eastAsia="仿宋"/>
                <w:color w:val="000000"/>
                <w:sz w:val="24"/>
                <w:szCs w:val="24"/>
                <w:highlight w:val="none"/>
                <w:lang w:val="en-US" w:eastAsia="zh-CN"/>
              </w:rPr>
              <w:t>3.学生为第二作者、本科生导师为第一作者情形，认定学生为第一作者。</w:t>
            </w:r>
          </w:p>
        </w:tc>
      </w:tr>
      <w:tr>
        <w:tblPrEx>
          <w:tblCellMar>
            <w:top w:w="0" w:type="dxa"/>
            <w:left w:w="0" w:type="dxa"/>
            <w:bottom w:w="0" w:type="dxa"/>
            <w:right w:w="0" w:type="dxa"/>
          </w:tblCellMar>
        </w:tblPrEx>
        <w:trPr>
          <w:trHeight w:val="313" w:hRule="atLeast"/>
        </w:trPr>
        <w:tc>
          <w:tcPr>
            <w:tcW w:w="1291" w:type="dxa"/>
            <w:vMerge w:val="continue"/>
            <w:tcBorders>
              <w:top w:val="nil"/>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default" w:ascii="仿宋" w:hAnsi="仿宋" w:eastAsia="仿宋" w:cs="宋体"/>
                <w:color w:val="000000"/>
                <w:sz w:val="24"/>
                <w:szCs w:val="24"/>
                <w:highlight w:val="none"/>
                <w:lang w:val="en-US" w:eastAsia="zh-CN"/>
              </w:rPr>
            </w:pPr>
            <w:r>
              <w:rPr>
                <w:rFonts w:hint="eastAsia" w:ascii="仿宋" w:hAnsi="仿宋" w:eastAsia="仿宋"/>
                <w:color w:val="000000"/>
                <w:sz w:val="24"/>
                <w:szCs w:val="24"/>
                <w:highlight w:val="none"/>
                <w:lang w:val="en-US" w:eastAsia="zh-CN"/>
              </w:rPr>
              <w:t xml:space="preserve">B </w:t>
            </w:r>
          </w:p>
        </w:tc>
        <w:tc>
          <w:tcPr>
            <w:tcW w:w="852" w:type="dxa"/>
            <w:tcBorders>
              <w:top w:val="nil"/>
              <w:left w:val="nil"/>
              <w:bottom w:val="single" w:color="auto" w:sz="4" w:space="0"/>
              <w:right w:val="nil"/>
            </w:tcBorders>
            <w:tcMar>
              <w:top w:w="17" w:type="dxa"/>
              <w:left w:w="17" w:type="dxa"/>
              <w:bottom w:w="0" w:type="dxa"/>
              <w:right w:w="17" w:type="dxa"/>
            </w:tcMar>
            <w:vAlign w:val="center"/>
          </w:tcPr>
          <w:p>
            <w:pPr>
              <w:spacing w:line="240" w:lineRule="auto"/>
              <w:jc w:val="center"/>
              <w:rPr>
                <w:rFonts w:hint="default" w:ascii="仿宋" w:hAnsi="仿宋" w:eastAsia="仿宋" w:cs="宋体"/>
                <w:color w:val="000000"/>
                <w:sz w:val="24"/>
                <w:szCs w:val="24"/>
                <w:highlight w:val="none"/>
                <w:lang w:val="en-US" w:eastAsia="zh-CN"/>
              </w:rPr>
            </w:pPr>
            <w:r>
              <w:rPr>
                <w:rFonts w:hint="eastAsia" w:ascii="仿宋" w:hAnsi="仿宋" w:eastAsia="仿宋"/>
                <w:color w:val="000000"/>
                <w:sz w:val="24"/>
                <w:szCs w:val="24"/>
                <w:highlight w:val="none"/>
                <w:lang w:val="en-US" w:eastAsia="zh-CN"/>
              </w:rPr>
              <w:t>100分</w:t>
            </w:r>
          </w:p>
        </w:tc>
        <w:tc>
          <w:tcPr>
            <w:tcW w:w="5449" w:type="dxa"/>
            <w:vMerge w:val="continue"/>
            <w:tcBorders>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285" w:hRule="atLeast"/>
        </w:trPr>
        <w:tc>
          <w:tcPr>
            <w:tcW w:w="1291" w:type="dxa"/>
            <w:vMerge w:val="continue"/>
            <w:tcBorders>
              <w:top w:val="nil"/>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eastAsia" w:ascii="仿宋" w:hAnsi="仿宋" w:eastAsia="仿宋" w:cs="宋体"/>
                <w:color w:val="000000"/>
                <w:sz w:val="24"/>
                <w:szCs w:val="24"/>
                <w:highlight w:val="none"/>
                <w:lang w:eastAsia="zh-CN"/>
              </w:rPr>
            </w:pPr>
            <w:r>
              <w:rPr>
                <w:rFonts w:hint="eastAsia" w:ascii="仿宋" w:hAnsi="仿宋" w:eastAsia="仿宋"/>
                <w:color w:val="000000"/>
                <w:sz w:val="24"/>
                <w:szCs w:val="24"/>
                <w:highlight w:val="none"/>
                <w:lang w:val="en-US" w:eastAsia="zh-CN"/>
              </w:rPr>
              <w:t>C</w:t>
            </w:r>
          </w:p>
        </w:tc>
        <w:tc>
          <w:tcPr>
            <w:tcW w:w="852" w:type="dxa"/>
            <w:tcBorders>
              <w:top w:val="nil"/>
              <w:left w:val="nil"/>
              <w:bottom w:val="single" w:color="auto" w:sz="4" w:space="0"/>
              <w:right w:val="nil"/>
            </w:tcBorders>
            <w:tcMar>
              <w:top w:w="17" w:type="dxa"/>
              <w:left w:w="17" w:type="dxa"/>
              <w:bottom w:w="0" w:type="dxa"/>
              <w:right w:w="17" w:type="dxa"/>
            </w:tcMar>
            <w:vAlign w:val="center"/>
          </w:tcPr>
          <w:p>
            <w:pPr>
              <w:spacing w:line="240" w:lineRule="auto"/>
              <w:jc w:val="center"/>
              <w:rPr>
                <w:rFonts w:hint="default" w:ascii="仿宋" w:hAnsi="仿宋" w:eastAsia="仿宋" w:cs="宋体"/>
                <w:color w:val="000000"/>
                <w:sz w:val="24"/>
                <w:szCs w:val="24"/>
                <w:highlight w:val="none"/>
                <w:lang w:val="en-US" w:eastAsia="zh-CN"/>
              </w:rPr>
            </w:pPr>
            <w:r>
              <w:rPr>
                <w:rFonts w:hint="eastAsia" w:ascii="仿宋" w:hAnsi="仿宋" w:eastAsia="仿宋"/>
                <w:color w:val="000000"/>
                <w:sz w:val="24"/>
                <w:szCs w:val="24"/>
                <w:highlight w:val="none"/>
                <w:lang w:val="en-US" w:eastAsia="zh-CN"/>
              </w:rPr>
              <w:t>60分</w:t>
            </w:r>
          </w:p>
        </w:tc>
        <w:tc>
          <w:tcPr>
            <w:tcW w:w="5449" w:type="dxa"/>
            <w:vMerge w:val="continue"/>
            <w:tcBorders>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285" w:hRule="atLeast"/>
        </w:trPr>
        <w:tc>
          <w:tcPr>
            <w:tcW w:w="1291" w:type="dxa"/>
            <w:vMerge w:val="continue"/>
            <w:tcBorders>
              <w:top w:val="nil"/>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firstLineChars="0"/>
              <w:jc w:val="center"/>
              <w:rPr>
                <w:rFonts w:hint="eastAsia" w:ascii="仿宋" w:hAnsi="仿宋" w:eastAsia="仿宋" w:cs="宋体"/>
                <w:color w:val="000000"/>
                <w:kern w:val="2"/>
                <w:sz w:val="24"/>
                <w:szCs w:val="24"/>
                <w:highlight w:val="none"/>
                <w:lang w:val="en-US" w:eastAsia="zh-CN" w:bidi="ar-SA"/>
              </w:rPr>
            </w:pPr>
            <w:r>
              <w:rPr>
                <w:rFonts w:hint="eastAsia" w:ascii="仿宋" w:hAnsi="仿宋" w:eastAsia="仿宋"/>
                <w:color w:val="000000"/>
                <w:sz w:val="24"/>
                <w:szCs w:val="24"/>
                <w:highlight w:val="none"/>
                <w:lang w:val="en-US" w:eastAsia="zh-CN"/>
              </w:rPr>
              <w:t>D</w:t>
            </w:r>
          </w:p>
        </w:tc>
        <w:tc>
          <w:tcPr>
            <w:tcW w:w="852" w:type="dxa"/>
            <w:tcBorders>
              <w:top w:val="nil"/>
              <w:left w:val="nil"/>
              <w:bottom w:val="single" w:color="auto" w:sz="4" w:space="0"/>
              <w:right w:val="nil"/>
            </w:tcBorders>
            <w:tcMar>
              <w:top w:w="17" w:type="dxa"/>
              <w:left w:w="17" w:type="dxa"/>
              <w:bottom w:w="0" w:type="dxa"/>
              <w:right w:w="17" w:type="dxa"/>
            </w:tcMar>
            <w:vAlign w:val="center"/>
          </w:tcPr>
          <w:p>
            <w:pPr>
              <w:spacing w:line="240" w:lineRule="auto"/>
              <w:jc w:val="center"/>
              <w:rPr>
                <w:rFonts w:hint="eastAsia" w:ascii="仿宋" w:hAnsi="仿宋" w:eastAsia="仿宋" w:cs="宋体"/>
                <w:color w:val="000000"/>
                <w:kern w:val="2"/>
                <w:sz w:val="24"/>
                <w:szCs w:val="24"/>
                <w:highlight w:val="none"/>
                <w:lang w:val="en-US" w:eastAsia="zh-CN" w:bidi="ar-SA"/>
              </w:rPr>
            </w:pPr>
            <w:r>
              <w:rPr>
                <w:rFonts w:hint="eastAsia" w:ascii="仿宋" w:hAnsi="仿宋" w:eastAsia="仿宋"/>
                <w:color w:val="000000"/>
                <w:sz w:val="24"/>
                <w:szCs w:val="24"/>
                <w:highlight w:val="none"/>
                <w:lang w:val="en-US" w:eastAsia="zh-CN"/>
              </w:rPr>
              <w:t>40分</w:t>
            </w:r>
          </w:p>
        </w:tc>
        <w:tc>
          <w:tcPr>
            <w:tcW w:w="5449" w:type="dxa"/>
            <w:vMerge w:val="continue"/>
            <w:tcBorders>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330" w:hRule="atLeast"/>
        </w:trPr>
        <w:tc>
          <w:tcPr>
            <w:tcW w:w="1291" w:type="dxa"/>
            <w:vMerge w:val="continue"/>
            <w:tcBorders>
              <w:top w:val="nil"/>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240" w:lineRule="auto"/>
              <w:ind w:firstLine="200"/>
              <w:jc w:val="center"/>
              <w:rPr>
                <w:rFonts w:hint="default"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其它</w:t>
            </w:r>
          </w:p>
        </w:tc>
        <w:tc>
          <w:tcPr>
            <w:tcW w:w="852" w:type="dxa"/>
            <w:tcBorders>
              <w:top w:val="nil"/>
              <w:left w:val="nil"/>
              <w:bottom w:val="single" w:color="auto" w:sz="4" w:space="0"/>
              <w:right w:val="nil"/>
            </w:tcBorders>
            <w:tcMar>
              <w:top w:w="17" w:type="dxa"/>
              <w:left w:w="17" w:type="dxa"/>
              <w:bottom w:w="0" w:type="dxa"/>
              <w:right w:w="17" w:type="dxa"/>
            </w:tcMar>
            <w:vAlign w:val="center"/>
          </w:tcPr>
          <w:p>
            <w:pPr>
              <w:spacing w:line="240" w:lineRule="auto"/>
              <w:jc w:val="center"/>
              <w:rPr>
                <w:rFonts w:hint="default" w:ascii="仿宋" w:hAnsi="仿宋" w:eastAsia="仿宋" w:cs="宋体"/>
                <w:color w:val="000000"/>
                <w:sz w:val="24"/>
                <w:szCs w:val="24"/>
                <w:highlight w:val="none"/>
                <w:lang w:val="en-US" w:eastAsia="zh-CN"/>
              </w:rPr>
            </w:pPr>
            <w:r>
              <w:rPr>
                <w:rFonts w:hint="eastAsia" w:ascii="仿宋" w:hAnsi="仿宋" w:eastAsia="仿宋" w:cs="宋体"/>
                <w:color w:val="000000"/>
                <w:sz w:val="24"/>
                <w:szCs w:val="24"/>
                <w:highlight w:val="none"/>
                <w:lang w:val="en-US" w:eastAsia="zh-CN"/>
              </w:rPr>
              <w:t>5分</w:t>
            </w:r>
          </w:p>
        </w:tc>
        <w:tc>
          <w:tcPr>
            <w:tcW w:w="5449"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353" w:hRule="atLeast"/>
        </w:trPr>
        <w:tc>
          <w:tcPr>
            <w:tcW w:w="1291" w:type="dxa"/>
            <w:vMerge w:val="restart"/>
            <w:tcBorders>
              <w:top w:val="single" w:color="auto" w:sz="4" w:space="0"/>
              <w:left w:val="single" w:color="auto" w:sz="4" w:space="0"/>
              <w:right w:val="single" w:color="auto" w:sz="4" w:space="0"/>
            </w:tcBorders>
            <w:vAlign w:val="center"/>
          </w:tcPr>
          <w:p>
            <w:pPr>
              <w:spacing w:line="240" w:lineRule="auto"/>
              <w:rPr>
                <w:rFonts w:ascii="仿宋" w:hAnsi="仿宋" w:eastAsia="仿宋" w:cs="宋体"/>
                <w:color w:val="000000"/>
                <w:sz w:val="24"/>
                <w:szCs w:val="24"/>
                <w:highlight w:val="none"/>
              </w:rPr>
            </w:pPr>
            <w:r>
              <w:rPr>
                <w:rFonts w:hint="eastAsia" w:ascii="仿宋" w:hAnsi="仿宋" w:eastAsia="仿宋" w:cs="宋体"/>
                <w:color w:val="000000"/>
                <w:sz w:val="24"/>
                <w:szCs w:val="24"/>
                <w:highlight w:val="none"/>
              </w:rPr>
              <w:t>专利及软件著作权</w:t>
            </w: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发明专利</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80分</w:t>
            </w:r>
          </w:p>
        </w:tc>
        <w:tc>
          <w:tcPr>
            <w:tcW w:w="5449" w:type="dxa"/>
            <w:vMerge w:val="restart"/>
            <w:tcBorders>
              <w:top w:val="single" w:color="auto" w:sz="4" w:space="0"/>
              <w:left w:val="single" w:color="auto" w:sz="4" w:space="0"/>
              <w:right w:val="single" w:color="auto" w:sz="4" w:space="0"/>
            </w:tcBorders>
            <w:tcMar>
              <w:top w:w="17" w:type="dxa"/>
              <w:left w:w="17" w:type="dxa"/>
              <w:bottom w:w="0" w:type="dxa"/>
              <w:right w:w="17" w:type="dxa"/>
            </w:tcMar>
            <w:vAlign w:val="center"/>
          </w:tcPr>
          <w:p>
            <w:pPr>
              <w:spacing w:line="240" w:lineRule="auto"/>
              <w:ind w:firstLine="240" w:firstLineChars="100"/>
              <w:rPr>
                <w:rFonts w:ascii="仿宋" w:hAnsi="仿宋" w:eastAsia="仿宋"/>
                <w:color w:val="000000"/>
                <w:sz w:val="24"/>
                <w:szCs w:val="24"/>
                <w:highlight w:val="none"/>
              </w:rPr>
            </w:pPr>
            <w:r>
              <w:rPr>
                <w:rFonts w:hint="eastAsia" w:ascii="仿宋" w:hAnsi="仿宋" w:eastAsia="仿宋"/>
                <w:color w:val="000000"/>
                <w:sz w:val="24"/>
                <w:szCs w:val="24"/>
                <w:highlight w:val="none"/>
              </w:rPr>
              <w:t>1.凭获得证书原件加分；</w:t>
            </w:r>
          </w:p>
          <w:p>
            <w:pPr>
              <w:spacing w:line="240" w:lineRule="auto"/>
              <w:ind w:firstLine="240" w:firstLineChars="100"/>
              <w:rPr>
                <w:rFonts w:ascii="仿宋" w:hAnsi="仿宋" w:eastAsia="仿宋"/>
                <w:color w:val="000000"/>
                <w:sz w:val="24"/>
                <w:szCs w:val="24"/>
                <w:highlight w:val="none"/>
              </w:rPr>
            </w:pPr>
            <w:r>
              <w:rPr>
                <w:rFonts w:hint="eastAsia" w:ascii="仿宋" w:hAnsi="仿宋" w:eastAsia="仿宋"/>
                <w:color w:val="000000"/>
                <w:sz w:val="24"/>
                <w:szCs w:val="24"/>
                <w:highlight w:val="none"/>
              </w:rPr>
              <w:t>2.</w:t>
            </w:r>
            <w:r>
              <w:rPr>
                <w:rFonts w:ascii="仿宋" w:hAnsi="仿宋" w:eastAsia="仿宋"/>
                <w:color w:val="000000"/>
                <w:sz w:val="24"/>
                <w:szCs w:val="24"/>
                <w:highlight w:val="none"/>
              </w:rPr>
              <w:t>排名第一人按对应级别的</w:t>
            </w:r>
            <w:r>
              <w:rPr>
                <w:rFonts w:hint="eastAsia" w:ascii="仿宋" w:hAnsi="仿宋" w:eastAsia="仿宋"/>
                <w:color w:val="000000"/>
                <w:sz w:val="24"/>
                <w:szCs w:val="24"/>
                <w:highlight w:val="none"/>
                <w:lang w:val="en-US" w:eastAsia="zh-CN"/>
              </w:rPr>
              <w:t>分值</w:t>
            </w:r>
            <w:r>
              <w:rPr>
                <w:rFonts w:ascii="仿宋" w:hAnsi="仿宋" w:eastAsia="仿宋"/>
                <w:color w:val="000000"/>
                <w:sz w:val="24"/>
                <w:szCs w:val="24"/>
                <w:highlight w:val="none"/>
              </w:rPr>
              <w:t>加分，排名第二到五名者得分为</w:t>
            </w:r>
            <w:r>
              <w:rPr>
                <w:rFonts w:hint="eastAsia" w:ascii="仿宋" w:hAnsi="仿宋" w:eastAsia="仿宋"/>
                <w:color w:val="000000"/>
                <w:sz w:val="24"/>
                <w:szCs w:val="24"/>
                <w:highlight w:val="none"/>
                <w:lang w:val="en-US" w:eastAsia="zh-CN"/>
              </w:rPr>
              <w:t>该项</w:t>
            </w:r>
            <w:r>
              <w:rPr>
                <w:rFonts w:ascii="仿宋" w:hAnsi="仿宋" w:eastAsia="仿宋"/>
                <w:color w:val="000000"/>
                <w:sz w:val="24"/>
                <w:szCs w:val="24"/>
                <w:highlight w:val="none"/>
              </w:rPr>
              <w:t>分值的0.5、0.</w:t>
            </w:r>
            <w:r>
              <w:rPr>
                <w:rFonts w:hint="eastAsia" w:ascii="仿宋" w:hAnsi="仿宋" w:eastAsia="仿宋"/>
                <w:color w:val="000000"/>
                <w:sz w:val="24"/>
                <w:szCs w:val="24"/>
                <w:highlight w:val="none"/>
              </w:rPr>
              <w:t>4</w:t>
            </w:r>
            <w:r>
              <w:rPr>
                <w:rFonts w:ascii="仿宋" w:hAnsi="仿宋" w:eastAsia="仿宋"/>
                <w:color w:val="000000"/>
                <w:sz w:val="24"/>
                <w:szCs w:val="24"/>
                <w:highlight w:val="none"/>
              </w:rPr>
              <w:t>、0.2、0.1。</w:t>
            </w:r>
          </w:p>
        </w:tc>
      </w:tr>
      <w:tr>
        <w:tblPrEx>
          <w:tblCellMar>
            <w:top w:w="0" w:type="dxa"/>
            <w:left w:w="0" w:type="dxa"/>
            <w:bottom w:w="0" w:type="dxa"/>
            <w:right w:w="0" w:type="dxa"/>
          </w:tblCellMar>
        </w:tblPrEx>
        <w:trPr>
          <w:trHeight w:val="395" w:hRule="atLeast"/>
        </w:trPr>
        <w:tc>
          <w:tcPr>
            <w:tcW w:w="1291" w:type="dxa"/>
            <w:vMerge w:val="continue"/>
            <w:tcBorders>
              <w:left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实用新型专利</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lang w:val="en-US" w:eastAsia="zh-CN"/>
              </w:rPr>
              <w:t>30</w:t>
            </w:r>
            <w:r>
              <w:rPr>
                <w:rFonts w:hint="eastAsia" w:ascii="仿宋" w:hAnsi="仿宋" w:eastAsia="仿宋"/>
                <w:color w:val="000000"/>
                <w:sz w:val="24"/>
                <w:szCs w:val="24"/>
                <w:highlight w:val="none"/>
              </w:rPr>
              <w:t>分</w:t>
            </w:r>
          </w:p>
        </w:tc>
        <w:tc>
          <w:tcPr>
            <w:tcW w:w="5449" w:type="dxa"/>
            <w:vMerge w:val="continue"/>
            <w:tcBorders>
              <w:left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r>
        <w:tblPrEx>
          <w:tblCellMar>
            <w:top w:w="0" w:type="dxa"/>
            <w:left w:w="0" w:type="dxa"/>
            <w:bottom w:w="0" w:type="dxa"/>
            <w:right w:w="0" w:type="dxa"/>
          </w:tblCellMar>
        </w:tblPrEx>
        <w:trPr>
          <w:trHeight w:val="346" w:hRule="atLeast"/>
        </w:trPr>
        <w:tc>
          <w:tcPr>
            <w:tcW w:w="1291" w:type="dxa"/>
            <w:vMerge w:val="continue"/>
            <w:tcBorders>
              <w:left w:val="single" w:color="auto" w:sz="4" w:space="0"/>
              <w:bottom w:val="single" w:color="auto" w:sz="4" w:space="0"/>
              <w:right w:val="single" w:color="auto" w:sz="4" w:space="0"/>
            </w:tcBorders>
            <w:vAlign w:val="center"/>
          </w:tcPr>
          <w:p>
            <w:pPr>
              <w:spacing w:line="240" w:lineRule="auto"/>
              <w:ind w:firstLine="200"/>
              <w:rPr>
                <w:rFonts w:ascii="仿宋" w:hAnsi="仿宋" w:eastAsia="仿宋" w:cs="宋体"/>
                <w:color w:val="000000"/>
                <w:sz w:val="24"/>
                <w:szCs w:val="24"/>
                <w:highlight w:val="none"/>
              </w:rPr>
            </w:pPr>
          </w:p>
        </w:tc>
        <w:tc>
          <w:tcPr>
            <w:tcW w:w="1622"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软件著作权</w:t>
            </w:r>
          </w:p>
        </w:tc>
        <w:tc>
          <w:tcPr>
            <w:tcW w:w="852" w:type="dxa"/>
            <w:tcBorders>
              <w:top w:val="single" w:color="auto" w:sz="4" w:space="0"/>
              <w:left w:val="nil"/>
              <w:bottom w:val="single" w:color="auto" w:sz="4" w:space="0"/>
              <w:right w:val="nil"/>
            </w:tcBorders>
            <w:tcMar>
              <w:top w:w="17" w:type="dxa"/>
              <w:left w:w="17" w:type="dxa"/>
              <w:bottom w:w="0" w:type="dxa"/>
              <w:right w:w="17" w:type="dxa"/>
            </w:tcMar>
            <w:vAlign w:val="center"/>
          </w:tcPr>
          <w:p>
            <w:pPr>
              <w:spacing w:line="240" w:lineRule="auto"/>
              <w:jc w:val="center"/>
              <w:rPr>
                <w:rFonts w:ascii="仿宋" w:hAnsi="仿宋" w:eastAsia="仿宋"/>
                <w:color w:val="000000"/>
                <w:sz w:val="24"/>
                <w:szCs w:val="24"/>
                <w:highlight w:val="none"/>
              </w:rPr>
            </w:pPr>
            <w:r>
              <w:rPr>
                <w:rFonts w:hint="eastAsia" w:ascii="仿宋" w:hAnsi="仿宋" w:eastAsia="仿宋"/>
                <w:color w:val="000000"/>
                <w:sz w:val="24"/>
                <w:szCs w:val="24"/>
                <w:highlight w:val="none"/>
              </w:rPr>
              <w:t>30</w:t>
            </w:r>
            <w:r>
              <w:rPr>
                <w:rFonts w:hint="eastAsia" w:ascii="仿宋" w:hAnsi="仿宋" w:eastAsia="仿宋"/>
                <w:color w:val="000000"/>
                <w:sz w:val="24"/>
                <w:szCs w:val="24"/>
                <w:highlight w:val="none"/>
                <w:lang w:val="en-US" w:eastAsia="zh-CN"/>
              </w:rPr>
              <w:t>分</w:t>
            </w:r>
          </w:p>
        </w:tc>
        <w:tc>
          <w:tcPr>
            <w:tcW w:w="5449"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40" w:lineRule="auto"/>
              <w:ind w:firstLine="200"/>
              <w:rPr>
                <w:rFonts w:ascii="仿宋" w:hAnsi="仿宋" w:eastAsia="仿宋"/>
                <w:color w:val="000000"/>
                <w:sz w:val="24"/>
                <w:szCs w:val="24"/>
                <w:highlight w:val="none"/>
              </w:rPr>
            </w:pPr>
          </w:p>
        </w:tc>
      </w:tr>
    </w:tbl>
    <w:p>
      <w:pPr>
        <w:spacing w:line="560" w:lineRule="exact"/>
        <w:ind w:firstLine="200"/>
        <w:jc w:val="right"/>
        <w:rPr>
          <w:rFonts w:hint="eastAsia" w:ascii="仿宋" w:hAnsi="仿宋" w:eastAsia="仿宋"/>
          <w:color w:val="000000"/>
          <w:sz w:val="32"/>
          <w:szCs w:val="32"/>
          <w:highlight w:val="none"/>
        </w:rPr>
      </w:pPr>
    </w:p>
    <w:p>
      <w:pPr>
        <w:spacing w:line="560" w:lineRule="exact"/>
        <w:ind w:firstLine="200"/>
        <w:jc w:val="right"/>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管理科学与工程学院                                   </w:t>
      </w:r>
    </w:p>
    <w:p>
      <w:pPr>
        <w:spacing w:line="560" w:lineRule="exact"/>
        <w:ind w:firstLine="200"/>
        <w:jc w:val="right"/>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日</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zUyMTg3ZmMyZTA5YmRkMDRhNWIzMDA1ZTJkNWIifQ=="/>
  </w:docVars>
  <w:rsids>
    <w:rsidRoot w:val="00514512"/>
    <w:rsid w:val="000A1715"/>
    <w:rsid w:val="0032031A"/>
    <w:rsid w:val="00514512"/>
    <w:rsid w:val="00834AA0"/>
    <w:rsid w:val="00996824"/>
    <w:rsid w:val="00D07544"/>
    <w:rsid w:val="01E925F2"/>
    <w:rsid w:val="024A0BB7"/>
    <w:rsid w:val="02B95A7B"/>
    <w:rsid w:val="030470E9"/>
    <w:rsid w:val="03B3786A"/>
    <w:rsid w:val="05B024BF"/>
    <w:rsid w:val="06285025"/>
    <w:rsid w:val="06450847"/>
    <w:rsid w:val="084E7652"/>
    <w:rsid w:val="0B113DED"/>
    <w:rsid w:val="0B94572A"/>
    <w:rsid w:val="0BC56019"/>
    <w:rsid w:val="0C437F80"/>
    <w:rsid w:val="0D7D16F3"/>
    <w:rsid w:val="0F520DC8"/>
    <w:rsid w:val="10E804F5"/>
    <w:rsid w:val="123A4D89"/>
    <w:rsid w:val="127C4DBC"/>
    <w:rsid w:val="132E09AA"/>
    <w:rsid w:val="144755F6"/>
    <w:rsid w:val="159E2422"/>
    <w:rsid w:val="16435555"/>
    <w:rsid w:val="16A07761"/>
    <w:rsid w:val="16F5338F"/>
    <w:rsid w:val="183A07EC"/>
    <w:rsid w:val="193B3C5E"/>
    <w:rsid w:val="1A3D7527"/>
    <w:rsid w:val="1C0E4732"/>
    <w:rsid w:val="1CB41909"/>
    <w:rsid w:val="1EC713CA"/>
    <w:rsid w:val="205A127D"/>
    <w:rsid w:val="20A43B9A"/>
    <w:rsid w:val="216058A9"/>
    <w:rsid w:val="21FF2259"/>
    <w:rsid w:val="22F64717"/>
    <w:rsid w:val="247E63A3"/>
    <w:rsid w:val="25E55152"/>
    <w:rsid w:val="265E182E"/>
    <w:rsid w:val="28DF657E"/>
    <w:rsid w:val="28F82769"/>
    <w:rsid w:val="29083E8D"/>
    <w:rsid w:val="2A657544"/>
    <w:rsid w:val="2A900FAD"/>
    <w:rsid w:val="2BA514F4"/>
    <w:rsid w:val="2C2727DD"/>
    <w:rsid w:val="2D2B2A4D"/>
    <w:rsid w:val="2E0E6DB8"/>
    <w:rsid w:val="2E664DE3"/>
    <w:rsid w:val="2E7F40B7"/>
    <w:rsid w:val="317F49CC"/>
    <w:rsid w:val="35034A28"/>
    <w:rsid w:val="3684230E"/>
    <w:rsid w:val="36CD6B81"/>
    <w:rsid w:val="37435D61"/>
    <w:rsid w:val="3CE83A15"/>
    <w:rsid w:val="3E1675C3"/>
    <w:rsid w:val="3F9E50AA"/>
    <w:rsid w:val="410D2F00"/>
    <w:rsid w:val="411027C6"/>
    <w:rsid w:val="41C470D5"/>
    <w:rsid w:val="423B584A"/>
    <w:rsid w:val="447B63D2"/>
    <w:rsid w:val="473100EA"/>
    <w:rsid w:val="4806740D"/>
    <w:rsid w:val="497F4003"/>
    <w:rsid w:val="49C63A2A"/>
    <w:rsid w:val="4A347F6C"/>
    <w:rsid w:val="4A4247F9"/>
    <w:rsid w:val="4A634A9C"/>
    <w:rsid w:val="4B96186C"/>
    <w:rsid w:val="4BE830E5"/>
    <w:rsid w:val="4BEC59AA"/>
    <w:rsid w:val="4C465518"/>
    <w:rsid w:val="4D324DE9"/>
    <w:rsid w:val="4EFA49BE"/>
    <w:rsid w:val="4FB706B9"/>
    <w:rsid w:val="50DD34A3"/>
    <w:rsid w:val="528F15C5"/>
    <w:rsid w:val="5350573C"/>
    <w:rsid w:val="547A02DD"/>
    <w:rsid w:val="54AF0D65"/>
    <w:rsid w:val="55A21B63"/>
    <w:rsid w:val="564F4A05"/>
    <w:rsid w:val="56D455F1"/>
    <w:rsid w:val="592B61ED"/>
    <w:rsid w:val="5A2B53A0"/>
    <w:rsid w:val="5B9A70D9"/>
    <w:rsid w:val="5D0D455B"/>
    <w:rsid w:val="5D6B7252"/>
    <w:rsid w:val="5DE80B25"/>
    <w:rsid w:val="5E3B0C54"/>
    <w:rsid w:val="5FBA054B"/>
    <w:rsid w:val="605C3CBF"/>
    <w:rsid w:val="61480ED7"/>
    <w:rsid w:val="61624E19"/>
    <w:rsid w:val="64930309"/>
    <w:rsid w:val="66C4662D"/>
    <w:rsid w:val="66DC6D4D"/>
    <w:rsid w:val="671C5DE5"/>
    <w:rsid w:val="67C7028A"/>
    <w:rsid w:val="689F0032"/>
    <w:rsid w:val="6B461154"/>
    <w:rsid w:val="6B821D05"/>
    <w:rsid w:val="6C4A0B22"/>
    <w:rsid w:val="6C975BF0"/>
    <w:rsid w:val="70BD7BEF"/>
    <w:rsid w:val="71F658C9"/>
    <w:rsid w:val="74412565"/>
    <w:rsid w:val="76031623"/>
    <w:rsid w:val="76B93FEC"/>
    <w:rsid w:val="771C636F"/>
    <w:rsid w:val="77884AB3"/>
    <w:rsid w:val="78411105"/>
    <w:rsid w:val="78E3275D"/>
    <w:rsid w:val="7A64203F"/>
    <w:rsid w:val="7B6065BB"/>
    <w:rsid w:val="7C2428D0"/>
    <w:rsid w:val="7C3C0484"/>
    <w:rsid w:val="7C691716"/>
    <w:rsid w:val="7CC46F30"/>
    <w:rsid w:val="7E2E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0"/>
    <w:rPr>
      <w:rFonts w:ascii="Times New Roman" w:hAnsi="Times New Roman" w:eastAsia="宋体" w:cs="Times New Roman"/>
      <w:b/>
      <w:bCs/>
      <w:kern w:val="44"/>
      <w:sz w:val="44"/>
      <w:szCs w:val="4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1287</Words>
  <Characters>1390</Characters>
  <Lines>13</Lines>
  <Paragraphs>3</Paragraphs>
  <TotalTime>9</TotalTime>
  <ScaleCrop>false</ScaleCrop>
  <LinksUpToDate>false</LinksUpToDate>
  <CharactersWithSpaces>1429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2020-04-17T03:37:00Z</dcterms:created>
  <dc:creator>杨黎黎</dc:creator>
  <cp:lastModifiedBy>萤火</cp:lastModifiedBy>
  <cp:lastPrinted>2022-02-28T00:26:00Z</cp:lastPrinted>
  <dcterms:modified xsi:type="dcterms:W3CDTF">2023-01-11T07:13:53Z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63C9DF36FE23453EBC379339381B8F18</vt:lpwstr>
  </property>
</Properties>
</file>